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3B" w:rsidRPr="002C0C94" w:rsidRDefault="0075753B" w:rsidP="002C0C94">
      <w:pPr>
        <w:spacing w:before="144" w:after="288" w:line="336" w:lineRule="auto"/>
        <w:jc w:val="center"/>
        <w:rPr>
          <w:rFonts w:ascii="Verdana" w:hAnsi="Verdana" w:cs="Arial"/>
          <w:bCs w:val="0"/>
          <w:color w:val="000000"/>
          <w:sz w:val="24"/>
          <w:szCs w:val="24"/>
        </w:rPr>
      </w:pPr>
      <w:r w:rsidRPr="002C0C94">
        <w:rPr>
          <w:rFonts w:ascii="Verdana" w:hAnsi="Verdana" w:cs="Arial"/>
          <w:bCs w:val="0"/>
          <w:color w:val="000000"/>
          <w:sz w:val="24"/>
          <w:szCs w:val="24"/>
        </w:rPr>
        <w:t>TERMINI DI LIQUIDAZIONE</w:t>
      </w:r>
    </w:p>
    <w:p w:rsidR="0075753B" w:rsidRPr="002C0C94" w:rsidRDefault="0075753B" w:rsidP="002C0C94">
      <w:pPr>
        <w:spacing w:before="144" w:after="288" w:line="336" w:lineRule="auto"/>
        <w:rPr>
          <w:rFonts w:ascii="Verdana" w:hAnsi="Verdana" w:cs="Arial"/>
          <w:bCs w:val="0"/>
          <w:color w:val="000000"/>
          <w:sz w:val="18"/>
          <w:szCs w:val="18"/>
        </w:rPr>
      </w:pPr>
      <w:r w:rsidRPr="002C0C94">
        <w:rPr>
          <w:rFonts w:ascii="Verdana" w:hAnsi="Verdana" w:cs="Arial"/>
          <w:bCs w:val="0"/>
          <w:color w:val="000000"/>
          <w:sz w:val="18"/>
          <w:szCs w:val="18"/>
        </w:rPr>
        <w:t xml:space="preserve">La </w:t>
      </w:r>
      <w:hyperlink r:id="rId4" w:history="1">
        <w:r w:rsidRPr="002C0C94">
          <w:rPr>
            <w:rFonts w:ascii="Verdana" w:hAnsi="Verdana" w:cs="Arial"/>
            <w:bCs w:val="0"/>
            <w:color w:val="505050"/>
            <w:sz w:val="18"/>
          </w:rPr>
          <w:t xml:space="preserve">Legge 27 dicembre 2013, n. 147 </w:t>
        </w:r>
      </w:hyperlink>
      <w:r w:rsidRPr="002C0C94">
        <w:rPr>
          <w:rFonts w:ascii="Verdana" w:hAnsi="Verdana" w:cs="Arial"/>
          <w:bCs w:val="0"/>
          <w:color w:val="000000"/>
          <w:sz w:val="18"/>
          <w:szCs w:val="18"/>
        </w:rPr>
        <w:t>(Legge di stabilità 2014), all’art. 1, commi 484 e 485, ha introdotto nuove norme in tema di pagamento dei Trattamenti di fine servizio/Trattamenti di fine rapporto dei dipendenti pubblici.</w:t>
      </w:r>
      <w:r>
        <w:rPr>
          <w:rFonts w:ascii="Verdana" w:hAnsi="Verdana" w:cs="Arial"/>
          <w:bCs w:val="0"/>
          <w:color w:val="000000"/>
          <w:sz w:val="18"/>
          <w:szCs w:val="18"/>
        </w:rPr>
        <w:t xml:space="preserve"> </w:t>
      </w:r>
      <w:r w:rsidRPr="002C0C94">
        <w:rPr>
          <w:rFonts w:ascii="Verdana" w:hAnsi="Verdana" w:cs="Arial"/>
          <w:bCs w:val="0"/>
          <w:color w:val="000000"/>
          <w:sz w:val="18"/>
          <w:szCs w:val="18"/>
        </w:rPr>
        <w:t xml:space="preserve">Le nuove disposizioni si applicano </w:t>
      </w:r>
      <w:r w:rsidRPr="002C0C94">
        <w:rPr>
          <w:rFonts w:ascii="Verdana" w:hAnsi="Verdana" w:cs="Arial"/>
          <w:b/>
          <w:color w:val="000000"/>
          <w:sz w:val="18"/>
        </w:rPr>
        <w:t>esclusivamente ai pagamenti relativi alle cessazioni dal servizio che decorrono dal 1° gennaio 2014 e con riferimento ai dipendenti che maturano i requisiti per il pensionamento a partire dalla predetta data.</w:t>
      </w:r>
      <w:r>
        <w:rPr>
          <w:rFonts w:ascii="Verdana" w:hAnsi="Verdana" w:cs="Arial"/>
          <w:b/>
          <w:color w:val="000000"/>
          <w:sz w:val="18"/>
        </w:rPr>
        <w:t xml:space="preserve"> </w:t>
      </w:r>
      <w:r w:rsidRPr="002C0C94">
        <w:rPr>
          <w:rFonts w:ascii="Verdana" w:hAnsi="Verdana" w:cs="Arial"/>
          <w:bCs w:val="0"/>
          <w:color w:val="000000"/>
          <w:sz w:val="18"/>
          <w:szCs w:val="18"/>
        </w:rPr>
        <w:t>Pertanto, ai dipendenti pubblici destinatari di detta norma, i TFS/TFR vengono corrisposti:</w:t>
      </w:r>
      <w:r w:rsidRPr="002C0C94">
        <w:rPr>
          <w:rFonts w:ascii="Verdana" w:hAnsi="Verdana" w:cs="Arial"/>
          <w:bCs w:val="0"/>
          <w:color w:val="000000"/>
          <w:sz w:val="18"/>
          <w:szCs w:val="18"/>
        </w:rPr>
        <w:br/>
        <w:t>- in unica soluzione, se l’importo da erogare, al lordo delle relative trattenute fiscali, è inferiore o pari a € 50.000;</w:t>
      </w:r>
      <w:r w:rsidRPr="002C0C94">
        <w:rPr>
          <w:rFonts w:ascii="Verdana" w:hAnsi="Verdana" w:cs="Arial"/>
          <w:bCs w:val="0"/>
          <w:color w:val="000000"/>
          <w:sz w:val="18"/>
          <w:szCs w:val="18"/>
        </w:rPr>
        <w:br/>
        <w:t>- in due rate annuali, se l'importo complessivo della prestazione, al lordo delle relative trattenute fiscali, è superiore a € 50.000 ma inferiore a €100.000 (in tal caso la prima rata è di € 50.000 e la seconda è pari alla parte rimanente);</w:t>
      </w:r>
      <w:r w:rsidRPr="002C0C94">
        <w:rPr>
          <w:rFonts w:ascii="Verdana" w:hAnsi="Verdana" w:cs="Arial"/>
          <w:bCs w:val="0"/>
          <w:color w:val="000000"/>
          <w:sz w:val="18"/>
          <w:szCs w:val="18"/>
        </w:rPr>
        <w:br/>
        <w:t>- in tre rate annuali se l'importo complessivo della prestazione, al lordo delle relative trattenute fiscali, è pari o superiore a € 100.000 (in tal caso la prima e la seconda rata sono pari a € 50.000 e la terza è pari alla parte rimanente). Il secondo e il terzo importo saranno pagati rispettivamente dopo 12 e 24 mesi dalla decorrenza del diritto al pagamento della prima rata.</w:t>
      </w:r>
    </w:p>
    <w:p w:rsidR="0075753B" w:rsidRPr="002C0C94" w:rsidRDefault="0075753B" w:rsidP="002C0C94">
      <w:pPr>
        <w:spacing w:before="144" w:line="336" w:lineRule="auto"/>
        <w:rPr>
          <w:rFonts w:ascii="Verdana" w:hAnsi="Verdana" w:cs="Arial"/>
          <w:bCs w:val="0"/>
          <w:color w:val="000000"/>
          <w:sz w:val="18"/>
          <w:szCs w:val="18"/>
        </w:rPr>
      </w:pPr>
      <w:r w:rsidRPr="002C0C94">
        <w:rPr>
          <w:rFonts w:ascii="Verdana" w:hAnsi="Verdana" w:cs="Arial"/>
          <w:bCs w:val="0"/>
          <w:color w:val="000000"/>
          <w:sz w:val="18"/>
          <w:szCs w:val="18"/>
        </w:rPr>
        <w:t>I termini di pagamento dei TFS/TFR sono i seguenti: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60"/>
        <w:gridCol w:w="2708"/>
      </w:tblGrid>
      <w:tr w:rsidR="0075753B" w:rsidRPr="002C0C94" w:rsidTr="002C0C94">
        <w:trPr>
          <w:trHeight w:val="215"/>
          <w:tblCellSpacing w:w="0" w:type="dxa"/>
        </w:trPr>
        <w:tc>
          <w:tcPr>
            <w:tcW w:w="3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/>
                <w:color w:val="000000"/>
                <w:sz w:val="18"/>
              </w:rPr>
              <w:t>Motivo cessazione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/>
                <w:color w:val="000000"/>
                <w:sz w:val="18"/>
              </w:rPr>
              <w:t>Termini</w:t>
            </w:r>
          </w:p>
        </w:tc>
      </w:tr>
      <w:tr w:rsidR="0075753B" w:rsidRPr="002C0C94" w:rsidTr="002C0C94">
        <w:trPr>
          <w:trHeight w:val="193"/>
          <w:tblCellSpacing w:w="0" w:type="dxa"/>
        </w:trPr>
        <w:tc>
          <w:tcPr>
            <w:tcW w:w="3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Pensione di vecchiaia e/o limiti di età ordinamentali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12 mesi</w:t>
            </w:r>
          </w:p>
        </w:tc>
      </w:tr>
      <w:tr w:rsidR="0075753B" w:rsidRPr="002C0C94" w:rsidTr="002C0C94">
        <w:trPr>
          <w:trHeight w:val="204"/>
          <w:tblCellSpacing w:w="0" w:type="dxa"/>
        </w:trPr>
        <w:tc>
          <w:tcPr>
            <w:tcW w:w="3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Limiti di servizio / Risoluzione unilaterale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12 mesi</w:t>
            </w:r>
          </w:p>
        </w:tc>
      </w:tr>
      <w:tr w:rsidR="0075753B" w:rsidRPr="002C0C94" w:rsidTr="002C0C94">
        <w:trPr>
          <w:trHeight w:val="193"/>
          <w:tblCellSpacing w:w="0" w:type="dxa"/>
        </w:trPr>
        <w:tc>
          <w:tcPr>
            <w:tcW w:w="3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Pensione anticipata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24 mesi</w:t>
            </w:r>
          </w:p>
        </w:tc>
      </w:tr>
      <w:tr w:rsidR="0075753B" w:rsidRPr="002C0C94" w:rsidTr="002C0C94">
        <w:trPr>
          <w:trHeight w:val="193"/>
          <w:tblCellSpacing w:w="0" w:type="dxa"/>
        </w:trPr>
        <w:tc>
          <w:tcPr>
            <w:tcW w:w="3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Dimissioni volontarie senza diritto a pensione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24 mesi</w:t>
            </w:r>
          </w:p>
        </w:tc>
      </w:tr>
      <w:tr w:rsidR="0075753B" w:rsidRPr="002C0C94" w:rsidTr="002C0C94">
        <w:trPr>
          <w:trHeight w:val="204"/>
          <w:tblCellSpacing w:w="0" w:type="dxa"/>
        </w:trPr>
        <w:tc>
          <w:tcPr>
            <w:tcW w:w="3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Destituzione / Licenziamento senza diritto a pensione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24 mesi</w:t>
            </w:r>
          </w:p>
        </w:tc>
      </w:tr>
      <w:tr w:rsidR="0075753B" w:rsidRPr="002C0C94" w:rsidTr="002C0C94">
        <w:trPr>
          <w:trHeight w:val="183"/>
          <w:tblCellSpacing w:w="0" w:type="dxa"/>
        </w:trPr>
        <w:tc>
          <w:tcPr>
            <w:tcW w:w="3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Decesso e inabilità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entro 105 gg.</w:t>
            </w:r>
          </w:p>
        </w:tc>
      </w:tr>
    </w:tbl>
    <w:p w:rsidR="0075753B" w:rsidRPr="002C0C94" w:rsidRDefault="0075753B" w:rsidP="002C0C94">
      <w:pPr>
        <w:spacing w:before="144" w:after="288" w:line="336" w:lineRule="auto"/>
        <w:jc w:val="center"/>
        <w:rPr>
          <w:rFonts w:ascii="Verdana" w:hAnsi="Verdana" w:cs="Arial"/>
          <w:bCs w:val="0"/>
          <w:color w:val="000000"/>
          <w:sz w:val="18"/>
          <w:szCs w:val="18"/>
        </w:rPr>
      </w:pPr>
      <w:r w:rsidRPr="002C0C94">
        <w:rPr>
          <w:rFonts w:ascii="Verdana" w:hAnsi="Verdana" w:cs="Arial"/>
          <w:bCs w:val="0"/>
          <w:color w:val="000000"/>
          <w:sz w:val="18"/>
          <w:szCs w:val="18"/>
        </w:rPr>
        <w:t>***</w:t>
      </w:r>
    </w:p>
    <w:p w:rsidR="0075753B" w:rsidRPr="002C0C94" w:rsidRDefault="0075753B" w:rsidP="002C0C94">
      <w:pPr>
        <w:spacing w:before="144" w:after="288" w:line="336" w:lineRule="auto"/>
        <w:rPr>
          <w:rFonts w:ascii="Verdana" w:hAnsi="Verdana" w:cs="Arial"/>
          <w:bCs w:val="0"/>
          <w:color w:val="000000"/>
          <w:sz w:val="18"/>
          <w:szCs w:val="18"/>
        </w:rPr>
      </w:pPr>
      <w:r w:rsidRPr="002C0C94">
        <w:rPr>
          <w:rFonts w:ascii="Verdana" w:hAnsi="Verdana" w:cs="Arial"/>
          <w:bCs w:val="0"/>
          <w:color w:val="000000"/>
          <w:sz w:val="18"/>
          <w:szCs w:val="18"/>
        </w:rPr>
        <w:t>I dipendenti pubblici che, pur cessando dal servizio dal 01/01/2014, avevano maturato entro il 31/12/2013 i requisiti per il pensionamento, rimangono destinatari della vecchia normativa, che prevede i pagamenti dei TFS/TFR secondo la segue</w:t>
      </w:r>
      <w:r>
        <w:rPr>
          <w:rFonts w:ascii="Verdana" w:hAnsi="Verdana" w:cs="Arial"/>
          <w:bCs w:val="0"/>
          <w:color w:val="000000"/>
          <w:sz w:val="18"/>
          <w:szCs w:val="18"/>
        </w:rPr>
        <w:t>nte rateizzazione:</w:t>
      </w:r>
      <w:r>
        <w:rPr>
          <w:rFonts w:ascii="Verdana" w:hAnsi="Verdana" w:cs="Arial"/>
          <w:bCs w:val="0"/>
          <w:color w:val="000000"/>
          <w:sz w:val="18"/>
          <w:szCs w:val="18"/>
        </w:rPr>
        <w:br/>
        <w:t>• in unica so</w:t>
      </w:r>
      <w:r w:rsidRPr="002C0C94">
        <w:rPr>
          <w:rFonts w:ascii="Verdana" w:hAnsi="Verdana" w:cs="Arial"/>
          <w:bCs w:val="0"/>
          <w:color w:val="000000"/>
          <w:sz w:val="18"/>
          <w:szCs w:val="18"/>
        </w:rPr>
        <w:t>luzione se l'importo complessivo della prestazione, al lordo delle relative trattenute fiscali, è pari o inferiore a € 90.000;</w:t>
      </w:r>
      <w:r w:rsidRPr="002C0C94">
        <w:rPr>
          <w:rFonts w:ascii="Verdana" w:hAnsi="Verdana" w:cs="Arial"/>
          <w:bCs w:val="0"/>
          <w:color w:val="000000"/>
          <w:sz w:val="18"/>
          <w:szCs w:val="18"/>
        </w:rPr>
        <w:br/>
        <w:t>• in due importi se l’ammontare complessivo della prestazione, al lordo delle relative trattenute fiscali, è superiore a € 90.000, ma inferiore a € 150.000. In questo caso la prima rata da liquidare è pari a € 90.000 e la seconda è pari all’importo rimanente;</w:t>
      </w:r>
      <w:r w:rsidRPr="002C0C94">
        <w:rPr>
          <w:rFonts w:ascii="Verdana" w:hAnsi="Verdana" w:cs="Arial"/>
          <w:bCs w:val="0"/>
          <w:color w:val="000000"/>
          <w:sz w:val="18"/>
          <w:szCs w:val="18"/>
        </w:rPr>
        <w:br/>
        <w:t>• in tre importi se l’ammontare complessivo della prestazione, al lordo delle relative trattenute fiscali, è uguale o superiore a € 150.000. In questo caso la prima rata da liquidare è pari a € 90.000, la seconda è pari a € 60.000 e la terza è pari all’importo residuo.</w:t>
      </w:r>
      <w:r w:rsidRPr="002C0C94">
        <w:rPr>
          <w:rFonts w:ascii="Verdana" w:hAnsi="Verdana" w:cs="Arial"/>
          <w:bCs w:val="0"/>
          <w:color w:val="000000"/>
          <w:sz w:val="18"/>
          <w:szCs w:val="18"/>
        </w:rPr>
        <w:br/>
        <w:t>Il secondo e il terzo importo saranno pagati rispettivamente dopo 12 e 24 mesi dalla decorrenza del diritto al pagamento della prima rata.</w:t>
      </w:r>
    </w:p>
    <w:p w:rsidR="0075753B" w:rsidRPr="002C0C94" w:rsidRDefault="0075753B" w:rsidP="002C0C94">
      <w:pPr>
        <w:spacing w:before="144" w:line="336" w:lineRule="auto"/>
        <w:rPr>
          <w:rFonts w:ascii="Verdana" w:hAnsi="Verdana" w:cs="Arial"/>
          <w:bCs w:val="0"/>
          <w:color w:val="000000"/>
          <w:sz w:val="18"/>
          <w:szCs w:val="18"/>
        </w:rPr>
      </w:pPr>
      <w:r w:rsidRPr="002C0C94">
        <w:rPr>
          <w:rFonts w:ascii="Verdana" w:hAnsi="Verdana" w:cs="Arial"/>
          <w:bCs w:val="0"/>
          <w:color w:val="000000"/>
          <w:sz w:val="18"/>
          <w:szCs w:val="18"/>
        </w:rPr>
        <w:t>I termini di pagamento dei TFS/TFR, secondo la vecchia normativa, sono i seguenti: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2"/>
        <w:gridCol w:w="1449"/>
        <w:gridCol w:w="2744"/>
        <w:gridCol w:w="2593"/>
      </w:tblGrid>
      <w:tr w:rsidR="0075753B" w:rsidRPr="002C0C94" w:rsidTr="002C0C94">
        <w:trPr>
          <w:trHeight w:val="1236"/>
          <w:tblCellSpacing w:w="0" w:type="dxa"/>
        </w:trPr>
        <w:tc>
          <w:tcPr>
            <w:tcW w:w="20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 </w:t>
            </w:r>
            <w:r w:rsidRPr="002C0C94">
              <w:rPr>
                <w:rFonts w:ascii="Verdana" w:hAnsi="Verdana" w:cs="Arial"/>
                <w:b/>
                <w:color w:val="000000"/>
                <w:sz w:val="18"/>
              </w:rPr>
              <w:t>Motivo cessazione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/>
                <w:color w:val="000000"/>
                <w:sz w:val="18"/>
              </w:rPr>
              <w:t>Termini a regime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/>
                <w:color w:val="000000"/>
                <w:sz w:val="18"/>
              </w:rPr>
              <w:t xml:space="preserve">Termini con deroga </w:t>
            </w:r>
          </w:p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/>
                <w:color w:val="000000"/>
                <w:sz w:val="18"/>
              </w:rPr>
              <w:t xml:space="preserve">L. n. 148/2011 </w:t>
            </w: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br/>
              <w:t>(requisiti per la pensione per limiti di età o anzianità contributiva massima maturati entro il 12/08/2011 ovvero il 31/12/2011)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/>
                <w:color w:val="000000"/>
                <w:sz w:val="18"/>
              </w:rPr>
              <w:t xml:space="preserve">Termini con deroga </w:t>
            </w:r>
          </w:p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/>
                <w:color w:val="000000"/>
                <w:sz w:val="18"/>
              </w:rPr>
              <w:t xml:space="preserve">L. n. 148/2011 </w:t>
            </w: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br/>
              <w:t>(requisiti per la pensione di anzianità con “quota” maturati entro il 12/08/2011 ovvero il 31/12/2011)</w:t>
            </w:r>
          </w:p>
        </w:tc>
      </w:tr>
      <w:tr w:rsidR="0075753B" w:rsidRPr="002C0C94" w:rsidTr="002C0C94">
        <w:trPr>
          <w:trHeight w:val="494"/>
          <w:tblCellSpacing w:w="0" w:type="dxa"/>
        </w:trPr>
        <w:tc>
          <w:tcPr>
            <w:tcW w:w="20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Pensione di vecchiaia e/o limiti di età ordinamentali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6 mesi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entro 105 gg.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6 mesi</w:t>
            </w:r>
          </w:p>
        </w:tc>
      </w:tr>
      <w:tr w:rsidR="0075753B" w:rsidRPr="002C0C94" w:rsidTr="002C0C94">
        <w:trPr>
          <w:trHeight w:val="398"/>
          <w:tblCellSpacing w:w="0" w:type="dxa"/>
        </w:trPr>
        <w:tc>
          <w:tcPr>
            <w:tcW w:w="20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Limiti di servizio / Risoluzione unilaterale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6 mesi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entro 105 gg.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6 mesi</w:t>
            </w:r>
          </w:p>
        </w:tc>
      </w:tr>
      <w:tr w:rsidR="0075753B" w:rsidRPr="002C0C94" w:rsidTr="002C0C94">
        <w:trPr>
          <w:trHeight w:val="312"/>
          <w:tblCellSpacing w:w="0" w:type="dxa"/>
        </w:trPr>
        <w:tc>
          <w:tcPr>
            <w:tcW w:w="20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Pensione anticipata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24 mesi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entro 105 gg.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6 mesi</w:t>
            </w:r>
          </w:p>
        </w:tc>
      </w:tr>
      <w:tr w:rsidR="0075753B" w:rsidRPr="002C0C94" w:rsidTr="002C0C94">
        <w:trPr>
          <w:trHeight w:val="419"/>
          <w:tblCellSpacing w:w="0" w:type="dxa"/>
        </w:trPr>
        <w:tc>
          <w:tcPr>
            <w:tcW w:w="20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Dimissioni volontarie senza diritto a pensione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24 mesi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 </w:t>
            </w:r>
          </w:p>
        </w:tc>
      </w:tr>
      <w:tr w:rsidR="0075753B" w:rsidRPr="002C0C94" w:rsidTr="002C0C94">
        <w:trPr>
          <w:trHeight w:val="398"/>
          <w:tblCellSpacing w:w="0" w:type="dxa"/>
        </w:trPr>
        <w:tc>
          <w:tcPr>
            <w:tcW w:w="20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Destituzione / Licenziamento senza diritto a pensione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24 mesi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 </w:t>
            </w:r>
          </w:p>
        </w:tc>
      </w:tr>
      <w:tr w:rsidR="0075753B" w:rsidRPr="002C0C94" w:rsidTr="002C0C94">
        <w:trPr>
          <w:trHeight w:val="301"/>
          <w:tblCellSpacing w:w="0" w:type="dxa"/>
        </w:trPr>
        <w:tc>
          <w:tcPr>
            <w:tcW w:w="20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Decesso e inabilità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entro 105 gg.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entro 105 gg.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753B" w:rsidRPr="002C0C94" w:rsidRDefault="0075753B" w:rsidP="002C0C94">
            <w:pPr>
              <w:spacing w:before="144" w:after="288" w:line="336" w:lineRule="auto"/>
              <w:jc w:val="center"/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</w:pPr>
            <w:r w:rsidRPr="002C0C94">
              <w:rPr>
                <w:rFonts w:ascii="Verdana" w:hAnsi="Verdana" w:cs="Arial"/>
                <w:bCs w:val="0"/>
                <w:color w:val="000000"/>
                <w:sz w:val="18"/>
                <w:szCs w:val="18"/>
              </w:rPr>
              <w:t>entro 105 gg.</w:t>
            </w:r>
          </w:p>
        </w:tc>
      </w:tr>
    </w:tbl>
    <w:p w:rsidR="0075753B" w:rsidRPr="002C0C94" w:rsidRDefault="0075753B" w:rsidP="002C0C94">
      <w:pPr>
        <w:spacing w:before="144" w:after="288" w:line="336" w:lineRule="auto"/>
        <w:rPr>
          <w:rFonts w:ascii="Verdana" w:hAnsi="Verdana" w:cs="Arial"/>
          <w:bCs w:val="0"/>
          <w:color w:val="000000"/>
          <w:sz w:val="18"/>
          <w:szCs w:val="18"/>
        </w:rPr>
      </w:pPr>
      <w:r w:rsidRPr="002C0C94">
        <w:rPr>
          <w:rFonts w:ascii="Verdana" w:hAnsi="Verdana" w:cs="Arial"/>
          <w:bCs w:val="0"/>
          <w:color w:val="000000"/>
          <w:sz w:val="18"/>
          <w:szCs w:val="18"/>
        </w:rPr>
        <w:t>  </w:t>
      </w:r>
    </w:p>
    <w:p w:rsidR="0075753B" w:rsidRDefault="0075753B"/>
    <w:sectPr w:rsidR="0075753B" w:rsidSect="002C0C9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C94"/>
    <w:rsid w:val="00043EDB"/>
    <w:rsid w:val="0005717C"/>
    <w:rsid w:val="00087717"/>
    <w:rsid w:val="000B659B"/>
    <w:rsid w:val="00215A82"/>
    <w:rsid w:val="0024093E"/>
    <w:rsid w:val="002C0C94"/>
    <w:rsid w:val="002F2A8D"/>
    <w:rsid w:val="00363DE8"/>
    <w:rsid w:val="00394B81"/>
    <w:rsid w:val="003F0B3F"/>
    <w:rsid w:val="003F30E5"/>
    <w:rsid w:val="003F7E5C"/>
    <w:rsid w:val="0042768F"/>
    <w:rsid w:val="00463B73"/>
    <w:rsid w:val="004D0841"/>
    <w:rsid w:val="004D5AA9"/>
    <w:rsid w:val="004F4F67"/>
    <w:rsid w:val="00534175"/>
    <w:rsid w:val="00547832"/>
    <w:rsid w:val="00554069"/>
    <w:rsid w:val="005B2FCC"/>
    <w:rsid w:val="005C2573"/>
    <w:rsid w:val="005D1184"/>
    <w:rsid w:val="006D6E32"/>
    <w:rsid w:val="00723369"/>
    <w:rsid w:val="007327B3"/>
    <w:rsid w:val="0075753B"/>
    <w:rsid w:val="00764949"/>
    <w:rsid w:val="00797279"/>
    <w:rsid w:val="007C5404"/>
    <w:rsid w:val="008127AE"/>
    <w:rsid w:val="00815023"/>
    <w:rsid w:val="00916535"/>
    <w:rsid w:val="009A6852"/>
    <w:rsid w:val="00A239DF"/>
    <w:rsid w:val="00A560D3"/>
    <w:rsid w:val="00A76EEF"/>
    <w:rsid w:val="00A81E87"/>
    <w:rsid w:val="00C045E2"/>
    <w:rsid w:val="00CE3B29"/>
    <w:rsid w:val="00CF44E4"/>
    <w:rsid w:val="00D03A2F"/>
    <w:rsid w:val="00D51EF1"/>
    <w:rsid w:val="00D62AEF"/>
    <w:rsid w:val="00E10E4E"/>
    <w:rsid w:val="00F63AA0"/>
    <w:rsid w:val="00F64639"/>
    <w:rsid w:val="00F72232"/>
    <w:rsid w:val="00F82233"/>
    <w:rsid w:val="00F86DAB"/>
    <w:rsid w:val="00F9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C0C94"/>
    <w:rPr>
      <w:rFonts w:cs="Times New Roman"/>
      <w:color w:val="505050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2C0C9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C0C94"/>
    <w:pPr>
      <w:spacing w:before="144" w:after="288"/>
    </w:pPr>
    <w:rPr>
      <w:bCs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2C0C9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2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20747">
                                      <w:marLeft w:val="0"/>
                                      <w:marRight w:val="0"/>
                                      <w:marTop w:val="0"/>
                                      <w:marBottom w:val="53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92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2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2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92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2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920743">
                                                                  <w:marLeft w:val="0"/>
                                                                  <w:marRight w:val="0"/>
                                                                  <w:marTop w:val="21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92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rmattiva.it/uri-res/N2Ls?urn:nir:stato:decreto.legge:2003-06-24;147!vig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553</Words>
  <Characters>3154</Characters>
  <Application>Microsoft Office Outlook</Application>
  <DocSecurity>0</DocSecurity>
  <Lines>0</Lines>
  <Paragraphs>0</Paragraphs>
  <ScaleCrop>false</ScaleCrop>
  <Company>Università di Verona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TERMINI DI LIQUIDAZIONE</dc:title>
  <dc:subject/>
  <dc:creator>lzanolini</dc:creator>
  <cp:keywords/>
  <dc:description/>
  <cp:lastModifiedBy>lzanolini</cp:lastModifiedBy>
  <cp:revision>2</cp:revision>
  <dcterms:created xsi:type="dcterms:W3CDTF">2016-07-29T12:30:00Z</dcterms:created>
  <dcterms:modified xsi:type="dcterms:W3CDTF">2016-07-29T12:30:00Z</dcterms:modified>
</cp:coreProperties>
</file>