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B12" w:rsidRDefault="008D3B12">
      <w:pPr>
        <w:spacing w:line="360" w:lineRule="auto"/>
        <w:jc w:val="center"/>
      </w:pPr>
      <w:r>
        <w:t>Sara Ruffo</w:t>
      </w:r>
    </w:p>
    <w:p w:rsidR="008D3B12" w:rsidRDefault="008D3B12">
      <w:pPr>
        <w:pStyle w:val="BodyText"/>
      </w:pPr>
      <w:r>
        <w:t>“DIRE UNA COSA PER UN’ALTRA: UN’ANALISI STILISTICA E LINGUISTICA DELLE ESPRESSIONI COMICHE IN PLAUTO E PETRONIO”</w:t>
      </w:r>
    </w:p>
    <w:p w:rsidR="008D3B12" w:rsidRDefault="008D3B12">
      <w:pPr>
        <w:pStyle w:val="BodyText"/>
      </w:pPr>
    </w:p>
    <w:p w:rsidR="008D3B12" w:rsidRDefault="008D3B12">
      <w:pPr>
        <w:ind w:left="-240" w:right="-54"/>
        <w:jc w:val="both"/>
      </w:pPr>
    </w:p>
    <w:p w:rsidR="008D3B12" w:rsidRDefault="008D3B12">
      <w:pPr>
        <w:spacing w:line="360" w:lineRule="auto"/>
        <w:ind w:right="-54"/>
        <w:jc w:val="both"/>
        <w:rPr>
          <w:b/>
          <w:bCs/>
        </w:rPr>
      </w:pPr>
      <w:r>
        <w:rPr>
          <w:b/>
          <w:bCs/>
        </w:rPr>
        <w:t>I. CAMPO DI INDAGINE:</w:t>
      </w:r>
    </w:p>
    <w:p w:rsidR="008D3B12" w:rsidRDefault="008D3B12">
      <w:pPr>
        <w:numPr>
          <w:ilvl w:val="0"/>
          <w:numId w:val="1"/>
        </w:numPr>
        <w:spacing w:line="360" w:lineRule="auto"/>
        <w:ind w:right="-54"/>
        <w:jc w:val="both"/>
      </w:pPr>
      <w:r>
        <w:t>Lingua: latino;</w:t>
      </w:r>
    </w:p>
    <w:p w:rsidR="008D3B12" w:rsidRDefault="008D3B12">
      <w:pPr>
        <w:numPr>
          <w:ilvl w:val="0"/>
          <w:numId w:val="1"/>
        </w:numPr>
        <w:spacing w:line="360" w:lineRule="auto"/>
        <w:ind w:right="-54"/>
        <w:jc w:val="both"/>
      </w:pPr>
      <w:r>
        <w:t>Generi letterari: commedia e prosa;</w:t>
      </w:r>
    </w:p>
    <w:p w:rsidR="008D3B12" w:rsidRDefault="008D3B12">
      <w:pPr>
        <w:numPr>
          <w:ilvl w:val="0"/>
          <w:numId w:val="1"/>
        </w:numPr>
        <w:spacing w:line="360" w:lineRule="auto"/>
        <w:ind w:right="-54"/>
        <w:jc w:val="both"/>
      </w:pPr>
      <w:r>
        <w:t>Autori: Plauto (</w:t>
      </w:r>
      <w:r>
        <w:rPr>
          <w:i/>
        </w:rPr>
        <w:t xml:space="preserve">Amphitruo </w:t>
      </w:r>
      <w:r>
        <w:t xml:space="preserve">e </w:t>
      </w:r>
      <w:r>
        <w:rPr>
          <w:i/>
        </w:rPr>
        <w:t>Miles Gloriosus</w:t>
      </w:r>
      <w:r>
        <w:t>) e Petronio (</w:t>
      </w:r>
      <w:r>
        <w:rPr>
          <w:i/>
        </w:rPr>
        <w:t xml:space="preserve">Cena Trimalchionis, </w:t>
      </w:r>
      <w:r>
        <w:t xml:space="preserve">in </w:t>
      </w:r>
      <w:r>
        <w:rPr>
          <w:i/>
        </w:rPr>
        <w:t xml:space="preserve">Satyricon, </w:t>
      </w:r>
      <w:r>
        <w:t>§26,7 – §78,8);</w:t>
      </w:r>
    </w:p>
    <w:p w:rsidR="008D3B12" w:rsidRDefault="008D3B12">
      <w:pPr>
        <w:numPr>
          <w:ilvl w:val="0"/>
          <w:numId w:val="1"/>
        </w:numPr>
        <w:spacing w:line="360" w:lineRule="auto"/>
        <w:ind w:right="-54"/>
        <w:jc w:val="both"/>
      </w:pPr>
      <w:r>
        <w:t>Livello lessicale e/o semantico (anche nomi personali, in cap. III) o gruppi di parole che riescono a produrre effetti comici sostituendosi ad altre parole o espressioni letterali.</w:t>
      </w:r>
    </w:p>
    <w:p w:rsidR="008D3B12" w:rsidRDefault="008D3B12">
      <w:pPr>
        <w:spacing w:line="360" w:lineRule="auto"/>
        <w:ind w:left="-240" w:right="-54" w:firstLine="240"/>
        <w:jc w:val="both"/>
      </w:pPr>
    </w:p>
    <w:p w:rsidR="008D3B12" w:rsidRDefault="008D3B12">
      <w:pPr>
        <w:spacing w:line="360" w:lineRule="auto"/>
        <w:ind w:left="-240" w:right="-54" w:firstLine="240"/>
        <w:jc w:val="both"/>
        <w:rPr>
          <w:b/>
          <w:bCs/>
        </w:rPr>
      </w:pPr>
      <w:r>
        <w:rPr>
          <w:b/>
          <w:bCs/>
        </w:rPr>
        <w:t>II. APPROCCI DI ANALISI:</w:t>
      </w:r>
    </w:p>
    <w:p w:rsidR="008D3B12" w:rsidRDefault="008D3B12">
      <w:pPr>
        <w:numPr>
          <w:ilvl w:val="0"/>
          <w:numId w:val="2"/>
        </w:numPr>
        <w:tabs>
          <w:tab w:val="clear" w:pos="360"/>
        </w:tabs>
        <w:spacing w:line="360" w:lineRule="auto"/>
        <w:ind w:right="-54" w:hanging="120"/>
        <w:jc w:val="both"/>
      </w:pPr>
      <w:r>
        <w:t xml:space="preserve">   </w:t>
      </w:r>
      <w:r>
        <w:rPr>
          <w:b/>
          <w:bCs/>
        </w:rPr>
        <w:t>Approccio stilistico – retorico</w:t>
      </w:r>
      <w:r>
        <w:t xml:space="preserve"> (cap. I): le parole o gruppi di parole che sostituiscono altre parole e che per questo producono comicità sono detti </w:t>
      </w:r>
      <w:r>
        <w:rPr>
          <w:i/>
        </w:rPr>
        <w:t xml:space="preserve">tropi </w:t>
      </w:r>
      <w:r>
        <w:t>(</w:t>
      </w:r>
      <w:r>
        <w:rPr>
          <w:i/>
        </w:rPr>
        <w:t>tropi di dislocazione e salto</w:t>
      </w:r>
      <w:r>
        <w:t xml:space="preserve">, v. Introduzione) e costituiscono le più note </w:t>
      </w:r>
      <w:r>
        <w:rPr>
          <w:i/>
        </w:rPr>
        <w:t>figure retoriche</w:t>
      </w:r>
      <w:r>
        <w:t xml:space="preserve">. </w:t>
      </w:r>
    </w:p>
    <w:p w:rsidR="008D3B12" w:rsidRDefault="008D3B12">
      <w:pPr>
        <w:ind w:firstLine="709"/>
        <w:jc w:val="both"/>
      </w:pPr>
    </w:p>
    <w:p w:rsidR="008D3B12" w:rsidRDefault="008D3B12">
      <w:pPr>
        <w:ind w:firstLine="709"/>
        <w:jc w:val="both"/>
      </w:pPr>
      <w:r>
        <w:rPr>
          <w:noProof/>
          <w:lang w:val="de-DE" w:eastAsia="de-DE"/>
        </w:rPr>
        <w:pict>
          <v:line id="_x0000_s1026" style="position:absolute;left:0;text-align:left;z-index:251678208" from="246pt,37.8pt" to="318pt,139.95pt">
            <v:stroke endarrow="block"/>
          </v:line>
        </w:pict>
      </w:r>
      <w:r>
        <w:rPr>
          <w:noProof/>
          <w:lang w:val="de-DE" w:eastAsia="de-D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06pt;margin-top:27.6pt;width:120pt;height:27pt;z-index:251674112" filled="f" stroked="f">
            <v:textbox style="mso-next-textbox:#_x0000_s1027">
              <w:txbxContent>
                <w:p w:rsidR="008D3B12" w:rsidRDefault="008D3B12">
                  <w:r>
                    <w:t>…un feroce guerriero</w:t>
                  </w:r>
                </w:p>
              </w:txbxContent>
            </v:textbox>
          </v:shape>
        </w:pict>
      </w:r>
      <w:r>
        <w:rPr>
          <w:noProof/>
          <w:lang w:val="de-DE" w:eastAsia="de-DE"/>
        </w:rPr>
        <w:pict>
          <v:line id="_x0000_s1028" style="position:absolute;left:0;text-align:left;z-index:251677184" from="168pt,37.4pt" to="282pt,37.8pt">
            <v:stroke dashstyle="dashDot" endarrow="block"/>
          </v:line>
        </w:pict>
      </w:r>
      <w:r>
        <w:rPr>
          <w:noProof/>
          <w:lang w:val="de-DE" w:eastAsia="de-DE"/>
        </w:rPr>
        <w:pict>
          <v:shape id="_x0000_s1029" type="#_x0000_t202" style="position:absolute;left:0;text-align:left;margin-left:330pt;margin-top:127.8pt;width:84pt;height:27pt;z-index:251676160" filled="f" stroked="f">
            <v:textbox style="mso-next-textbox:#_x0000_s1029">
              <w:txbxContent>
                <w:p w:rsidR="008D3B12" w:rsidRDefault="008D3B12">
                  <w:r>
                    <w:t>…un leone</w:t>
                  </w:r>
                </w:p>
              </w:txbxContent>
            </v:textbox>
          </v:shape>
        </w:pict>
      </w:r>
      <w:r>
        <w:rPr>
          <w:noProof/>
          <w:lang w:val="de-DE" w:eastAsia="de-DE"/>
        </w:rPr>
        <w:pict>
          <v:oval id="_x0000_s1030" style="position:absolute;left:0;text-align:left;margin-left:282pt;margin-top:100.8pt;width:172.1pt;height:73.4pt;z-index:251675136"/>
        </w:pict>
      </w:r>
      <w:r>
        <w:rPr>
          <w:noProof/>
          <w:lang w:val="de-DE" w:eastAsia="de-DE"/>
        </w:rPr>
        <w:pict>
          <v:oval id="_x0000_s1031" style="position:absolute;left:0;text-align:left;margin-left:282pt;margin-top:.4pt;width:172.1pt;height:73.4pt;z-index:251673088"/>
        </w:pict>
      </w:r>
      <w:fldSimple w:instr="ref  SHAPE  \* MERGEFORMAT " w:fldLock="1">
        <w:r>
          <w:rPr>
            <w:noProof/>
            <w:lang w:val="de-DE" w:eastAsia="de-DE"/>
          </w:rPr>
        </w:r>
        <w: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style="width:162pt;height:71.4pt">
              <v:imagedata croptop="-65521f" cropbottom="65521f"/>
              <o:lock v:ext="edit" rotation="t" position="t"/>
            </v:shape>
          </w:pict>
        </w:r>
      </w:fldSimple>
    </w:p>
    <w:p w:rsidR="008D3B12" w:rsidRDefault="008D3B12">
      <w:pPr>
        <w:ind w:firstLine="709"/>
        <w:jc w:val="both"/>
      </w:pPr>
    </w:p>
    <w:p w:rsidR="008D3B12" w:rsidRDefault="008D3B12">
      <w:pPr>
        <w:ind w:firstLine="709"/>
        <w:jc w:val="both"/>
      </w:pPr>
    </w:p>
    <w:p w:rsidR="008D3B12" w:rsidRDefault="008D3B12">
      <w:pPr>
        <w:ind w:firstLine="709"/>
        <w:jc w:val="both"/>
      </w:pPr>
    </w:p>
    <w:p w:rsidR="008D3B12" w:rsidRDefault="008D3B12">
      <w:pPr>
        <w:ind w:firstLine="709"/>
        <w:jc w:val="both"/>
      </w:pPr>
    </w:p>
    <w:p w:rsidR="008D3B12" w:rsidRDefault="008D3B12">
      <w:pPr>
        <w:ind w:firstLine="709"/>
        <w:jc w:val="both"/>
      </w:pPr>
    </w:p>
    <w:p w:rsidR="008D3B12" w:rsidRDefault="008D3B12">
      <w:pPr>
        <w:ind w:firstLine="709"/>
        <w:jc w:val="both"/>
      </w:pPr>
    </w:p>
    <w:p w:rsidR="008D3B12" w:rsidRDefault="008D3B12">
      <w:pPr>
        <w:ind w:firstLine="709"/>
        <w:jc w:val="both"/>
      </w:pPr>
    </w:p>
    <w:p w:rsidR="008D3B12" w:rsidRDefault="008D3B12">
      <w:pPr>
        <w:numPr>
          <w:ilvl w:val="0"/>
          <w:numId w:val="2"/>
        </w:numPr>
        <w:tabs>
          <w:tab w:val="clear" w:pos="360"/>
        </w:tabs>
        <w:spacing w:line="360" w:lineRule="auto"/>
        <w:ind w:right="-54" w:hanging="120"/>
        <w:jc w:val="both"/>
      </w:pPr>
    </w:p>
    <w:p w:rsidR="008D3B12" w:rsidRDefault="008D3B12">
      <w:pPr>
        <w:numPr>
          <w:ilvl w:val="0"/>
          <w:numId w:val="2"/>
        </w:numPr>
        <w:tabs>
          <w:tab w:val="clear" w:pos="360"/>
        </w:tabs>
        <w:spacing w:line="360" w:lineRule="auto"/>
        <w:ind w:right="-54" w:hanging="120"/>
        <w:jc w:val="both"/>
      </w:pPr>
      <w:r>
        <w:t xml:space="preserve">Sono stati considerati, come tropi, </w:t>
      </w:r>
      <w:r>
        <w:rPr>
          <w:i/>
        </w:rPr>
        <w:t xml:space="preserve">perifrasi, sineddoche, metonimia, antonomasia, litote, iperbole, ironia, metafora, understatement </w:t>
      </w:r>
      <w:r>
        <w:t>ed</w:t>
      </w:r>
      <w:r>
        <w:rPr>
          <w:i/>
        </w:rPr>
        <w:t xml:space="preserve"> eufemismo</w:t>
      </w:r>
      <w:r>
        <w:t xml:space="preserve">; inoltre </w:t>
      </w:r>
      <w:r>
        <w:rPr>
          <w:i/>
        </w:rPr>
        <w:t xml:space="preserve">giochi di parole, figura etymologica, geminatio </w:t>
      </w:r>
      <w:r>
        <w:t xml:space="preserve">e </w:t>
      </w:r>
      <w:r>
        <w:rPr>
          <w:i/>
        </w:rPr>
        <w:t>allitterazione</w:t>
      </w:r>
      <w:r>
        <w:t xml:space="preserve">, come </w:t>
      </w:r>
      <w:r>
        <w:rPr>
          <w:i/>
        </w:rPr>
        <w:t>figure di parola</w:t>
      </w:r>
      <w:r>
        <w:t>.</w:t>
      </w:r>
    </w:p>
    <w:p w:rsidR="008D3B12" w:rsidRDefault="008D3B12">
      <w:pPr>
        <w:ind w:firstLine="709"/>
      </w:pPr>
    </w:p>
    <w:p w:rsidR="008D3B12" w:rsidRDefault="008D3B12">
      <w:pPr>
        <w:ind w:firstLine="709"/>
      </w:pPr>
    </w:p>
    <w:p w:rsidR="008D3B12" w:rsidRDefault="008D3B12">
      <w:pPr>
        <w:ind w:firstLine="709"/>
      </w:pPr>
    </w:p>
    <w:p w:rsidR="008D3B12" w:rsidRDefault="008D3B12">
      <w:pPr>
        <w:ind w:firstLine="709"/>
      </w:pPr>
    </w:p>
    <w:p w:rsidR="008D3B12" w:rsidRDefault="008D3B12">
      <w:pPr>
        <w:ind w:firstLine="709"/>
      </w:pPr>
    </w:p>
    <w:p w:rsidR="008D3B12" w:rsidRDefault="008D3B12">
      <w:pPr>
        <w:ind w:firstLine="709"/>
      </w:pPr>
      <w:r>
        <w:br w:type="page"/>
      </w:r>
    </w:p>
    <w:p w:rsidR="008D3B12" w:rsidRDefault="008D3B12">
      <w:pPr>
        <w:ind w:firstLine="709"/>
      </w:pPr>
    </w:p>
    <w:p w:rsidR="008D3B12" w:rsidRDefault="008D3B12">
      <w:pPr>
        <w:ind w:firstLine="709"/>
      </w:pPr>
      <w:r>
        <w:rPr>
          <w:noProof/>
          <w:lang w:val="de-DE" w:eastAsia="de-DE"/>
        </w:rPr>
        <w:pict>
          <v:shape id="_x0000_s1036" type="#_x0000_t202" style="position:absolute;left:0;text-align:left;margin-left:1in;margin-top:4.2pt;width:120pt;height:85.2pt;z-index:251656704" fillcolor="#ff9">
            <v:textbox style="mso-next-textbox:#_x0000_s1036">
              <w:txbxContent>
                <w:p w:rsidR="008D3B12" w:rsidRDefault="008D3B12">
                  <w:r>
                    <w:t xml:space="preserve">2. </w:t>
                  </w:r>
                  <w:r>
                    <w:rPr>
                      <w:i/>
                    </w:rPr>
                    <w:t>Metonimia</w:t>
                  </w:r>
                  <w:r>
                    <w:t>: “mi bevo un bicchiere” (</w:t>
                  </w:r>
                  <w:r>
                    <w:rPr>
                      <w:i/>
                    </w:rPr>
                    <w:t>scil</w:t>
                  </w:r>
                  <w:r>
                    <w:t>. il contenuto di un bicchiere).</w:t>
                  </w:r>
                </w:p>
              </w:txbxContent>
            </v:textbox>
          </v:shape>
        </w:pict>
      </w:r>
      <w:r>
        <w:rPr>
          <w:noProof/>
          <w:lang w:val="de-DE" w:eastAsia="de-DE"/>
        </w:rPr>
        <w:pict>
          <v:shape id="_x0000_s1037" type="#_x0000_t202" style="position:absolute;left:0;text-align:left;margin-left:240pt;margin-top:4.2pt;width:114pt;height:1in;z-index:251657728" fillcolor="#fcf">
            <v:textbox style="mso-next-textbox:#_x0000_s1037">
              <w:txbxContent>
                <w:p w:rsidR="008D3B12" w:rsidRDefault="008D3B12">
                  <w:r>
                    <w:t xml:space="preserve">1. </w:t>
                  </w:r>
                  <w:r>
                    <w:rPr>
                      <w:i/>
                    </w:rPr>
                    <w:t>Perifrasi</w:t>
                  </w:r>
                  <w:r>
                    <w:t>: “succo d’uva” (</w:t>
                  </w:r>
                  <w:r>
                    <w:rPr>
                      <w:i/>
                    </w:rPr>
                    <w:t>scil</w:t>
                  </w:r>
                  <w:r>
                    <w:t>. vino)</w:t>
                  </w:r>
                </w:p>
              </w:txbxContent>
            </v:textbox>
          </v:shape>
        </w:pict>
      </w:r>
    </w:p>
    <w:p w:rsidR="008D3B12" w:rsidRDefault="008D3B12">
      <w:pPr>
        <w:ind w:firstLine="709"/>
      </w:pPr>
    </w:p>
    <w:p w:rsidR="008D3B12" w:rsidRDefault="008D3B12">
      <w:pPr>
        <w:ind w:firstLine="709"/>
      </w:pPr>
    </w:p>
    <w:p w:rsidR="008D3B12" w:rsidRDefault="008D3B12">
      <w:pPr>
        <w:ind w:firstLine="709"/>
      </w:pPr>
    </w:p>
    <w:p w:rsidR="008D3B12" w:rsidRDefault="008D3B12">
      <w:pPr>
        <w:ind w:firstLine="709"/>
      </w:pPr>
    </w:p>
    <w:p w:rsidR="008D3B12" w:rsidRDefault="008D3B12">
      <w:pPr>
        <w:ind w:firstLine="709"/>
      </w:pPr>
      <w:r>
        <w:rPr>
          <w:noProof/>
          <w:lang w:val="de-DE" w:eastAsia="de-DE"/>
        </w:rPr>
        <w:pict>
          <v:line id="_x0000_s1038" style="position:absolute;left:0;text-align:left;flip:x;z-index:251658752" from="3in,7.2pt" to="270pt,160.35pt" strokecolor="#f9c" strokeweight="1.5pt">
            <v:stroke endarrow="block"/>
          </v:line>
        </w:pict>
      </w:r>
    </w:p>
    <w:p w:rsidR="008D3B12" w:rsidRDefault="008D3B12">
      <w:pPr>
        <w:ind w:firstLine="709"/>
      </w:pPr>
      <w:r>
        <w:rPr>
          <w:noProof/>
          <w:lang w:val="de-DE" w:eastAsia="de-DE"/>
        </w:rPr>
        <w:pict>
          <v:shape id="_x0000_s1039" type="#_x0000_t202" style="position:absolute;left:0;text-align:left;margin-left:366pt;margin-top:1.8pt;width:108pt;height:81pt;z-index:251660800" fillcolor="#cff">
            <v:textbox style="mso-next-textbox:#_x0000_s1039">
              <w:txbxContent>
                <w:p w:rsidR="008D3B12" w:rsidRDefault="008D3B12">
                  <w:r>
                    <w:t xml:space="preserve">3. </w:t>
                  </w:r>
                  <w:r>
                    <w:rPr>
                      <w:i/>
                    </w:rPr>
                    <w:t>Iperbole</w:t>
                  </w:r>
                  <w:r>
                    <w:t>: “ti sei bevuto almeno venti litri di vino” (</w:t>
                  </w:r>
                  <w:r>
                    <w:rPr>
                      <w:i/>
                    </w:rPr>
                    <w:t>scil</w:t>
                  </w:r>
                  <w:r>
                    <w:t>. per es.:venti bicchieri)</w:t>
                  </w:r>
                </w:p>
              </w:txbxContent>
            </v:textbox>
          </v:shape>
        </w:pict>
      </w:r>
      <w:r>
        <w:rPr>
          <w:noProof/>
          <w:lang w:val="de-DE" w:eastAsia="de-DE"/>
        </w:rPr>
        <w:pict>
          <v:line id="_x0000_s1040" style="position:absolute;left:0;text-align:left;z-index:251654656" from="150pt,2.4pt" to="192pt,145.8pt" strokecolor="yellow" strokeweight="1.5pt">
            <v:stroke endarrow="block"/>
          </v:line>
        </w:pict>
      </w:r>
    </w:p>
    <w:p w:rsidR="008D3B12" w:rsidRDefault="008D3B12">
      <w:pPr>
        <w:ind w:firstLine="709"/>
      </w:pPr>
      <w:r>
        <w:rPr>
          <w:noProof/>
          <w:lang w:val="de-DE" w:eastAsia="de-DE"/>
        </w:rPr>
        <w:pict>
          <v:shape id="_x0000_s1041" type="#_x0000_t202" style="position:absolute;left:0;text-align:left;margin-left:12pt;margin-top:6.6pt;width:96pt;height:54pt;z-index:251663872" fillcolor="#cfc">
            <v:textbox>
              <w:txbxContent>
                <w:p w:rsidR="008D3B12" w:rsidRDefault="008D3B12">
                  <w:r>
                    <w:t xml:space="preserve">4. </w:t>
                  </w:r>
                  <w:r>
                    <w:rPr>
                      <w:i/>
                    </w:rPr>
                    <w:t>Antonomasia</w:t>
                  </w:r>
                  <w:r>
                    <w:t xml:space="preserve">: </w:t>
                  </w:r>
                </w:p>
                <w:p w:rsidR="008D3B12" w:rsidRDefault="008D3B12">
                  <w:r>
                    <w:t>“il dio del vino” (</w:t>
                  </w:r>
                  <w:r>
                    <w:rPr>
                      <w:i/>
                    </w:rPr>
                    <w:t>scil</w:t>
                  </w:r>
                  <w:r>
                    <w:t>. Bacco)</w:t>
                  </w:r>
                </w:p>
              </w:txbxContent>
            </v:textbox>
          </v:shape>
        </w:pict>
      </w:r>
    </w:p>
    <w:p w:rsidR="008D3B12" w:rsidRDefault="008D3B12">
      <w:pPr>
        <w:ind w:firstLine="709"/>
      </w:pPr>
    </w:p>
    <w:p w:rsidR="008D3B12" w:rsidRDefault="008D3B12">
      <w:pPr>
        <w:ind w:firstLine="709"/>
      </w:pPr>
    </w:p>
    <w:p w:rsidR="008D3B12" w:rsidRDefault="008D3B12">
      <w:pPr>
        <w:ind w:firstLine="709"/>
      </w:pPr>
    </w:p>
    <w:p w:rsidR="008D3B12" w:rsidRDefault="008D3B12">
      <w:pPr>
        <w:ind w:firstLine="709"/>
      </w:pPr>
      <w:r>
        <w:rPr>
          <w:noProof/>
          <w:lang w:val="de-DE" w:eastAsia="de-DE"/>
        </w:rPr>
        <w:pict>
          <v:oval id="_x0000_s1042" style="position:absolute;left:0;text-align:left;margin-left:12pt;margin-top:4.8pt;width:414pt;height:189pt;z-index:251636224"/>
        </w:pict>
      </w:r>
      <w:r>
        <w:rPr>
          <w:noProof/>
          <w:lang w:val="de-DE" w:eastAsia="de-DE"/>
        </w:rPr>
        <w:pict>
          <v:line id="_x0000_s1043" style="position:absolute;left:0;text-align:left;z-index:251664896" from="84pt,5.4pt" to="101.85pt,68.4pt" strokecolor="#6f6" strokeweight="1.5pt">
            <v:stroke endarrow="block"/>
          </v:line>
        </w:pict>
      </w:r>
    </w:p>
    <w:p w:rsidR="008D3B12" w:rsidRDefault="008D3B12">
      <w:pPr>
        <w:ind w:firstLine="709"/>
      </w:pPr>
      <w:r>
        <w:rPr>
          <w:noProof/>
          <w:lang w:val="de-DE" w:eastAsia="de-DE"/>
        </w:rPr>
        <w:pict>
          <v:line id="_x0000_s1044" style="position:absolute;left:0;text-align:left;flip:x;z-index:251661824" from="156pt,0" to="366pt,117.6pt" strokecolor="aqua" strokeweight="1.5pt">
            <v:stroke endarrow="block"/>
          </v:line>
        </w:pict>
      </w:r>
      <w:r>
        <w:rPr>
          <w:noProof/>
          <w:lang w:val="de-DE" w:eastAsia="de-DE"/>
        </w:rPr>
        <w:pict>
          <v:oval id="_x0000_s1045" style="position:absolute;left:0;text-align:left;margin-left:114pt;margin-top:9pt;width:66pt;height:36pt;z-index:251650560" filled="f"/>
        </w:pict>
      </w:r>
      <w:r>
        <w:rPr>
          <w:noProof/>
          <w:lang w:val="de-DE" w:eastAsia="de-DE"/>
        </w:rPr>
        <w:pict>
          <v:oval id="_x0000_s1046" style="position:absolute;left:0;text-align:left;margin-left:246pt;margin-top:9pt;width:66pt;height:36pt;z-index:251648512" filled="f"/>
        </w:pict>
      </w:r>
    </w:p>
    <w:p w:rsidR="008D3B12" w:rsidRDefault="008D3B12">
      <w:pPr>
        <w:ind w:firstLine="709"/>
      </w:pPr>
      <w:r>
        <w:rPr>
          <w:noProof/>
          <w:lang w:val="de-DE" w:eastAsia="de-DE"/>
        </w:rPr>
        <w:pict>
          <v:shape id="_x0000_s1047" type="#_x0000_t202" style="position:absolute;left:0;text-align:left;margin-left:132pt;margin-top:4.2pt;width:48pt;height:18pt;z-index:251649536" filled="f" stroked="f">
            <v:textbox style="mso-next-textbox:#_x0000_s1047">
              <w:txbxContent>
                <w:p w:rsidR="008D3B12" w:rsidRDefault="008D3B1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sobrio</w:t>
                  </w:r>
                </w:p>
              </w:txbxContent>
            </v:textbox>
          </v:shape>
        </w:pict>
      </w:r>
      <w:r>
        <w:rPr>
          <w:noProof/>
          <w:lang w:val="de-DE" w:eastAsia="de-DE"/>
        </w:rPr>
        <w:pict>
          <v:shape id="_x0000_s1048" type="#_x0000_t202" style="position:absolute;left:0;text-align:left;margin-left:258pt;margin-top:4.2pt;width:48pt;height:18pt;z-index:251647488" filled="f" stroked="f">
            <v:textbox style="mso-next-textbox:#_x0000_s1048">
              <w:txbxContent>
                <w:p w:rsidR="008D3B12" w:rsidRDefault="008D3B1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astemio</w:t>
                  </w:r>
                </w:p>
              </w:txbxContent>
            </v:textbox>
          </v:shape>
        </w:pict>
      </w:r>
    </w:p>
    <w:p w:rsidR="008D3B12" w:rsidRDefault="008D3B12">
      <w:pPr>
        <w:ind w:firstLine="709"/>
      </w:pPr>
      <w:r>
        <w:rPr>
          <w:noProof/>
          <w:lang w:val="de-DE" w:eastAsia="de-DE"/>
        </w:rPr>
        <w:pict>
          <v:line id="_x0000_s1049" style="position:absolute;left:0;text-align:left;flip:x y;z-index:251672064" from="168pt,0" to="294pt,117pt" strokeweight="1.5pt">
            <v:stroke endarrow="block"/>
          </v:line>
        </w:pict>
      </w:r>
      <w:r>
        <w:rPr>
          <w:noProof/>
          <w:lang w:val="de-DE" w:eastAsia="de-DE"/>
        </w:rPr>
        <w:pict>
          <v:oval id="_x0000_s1050" style="position:absolute;left:0;text-align:left;margin-left:330pt;margin-top:10.8pt;width:66pt;height:36pt;z-index:251652608" filled="f"/>
        </w:pict>
      </w:r>
    </w:p>
    <w:p w:rsidR="008D3B12" w:rsidRDefault="008D3B12">
      <w:pPr>
        <w:ind w:firstLine="709"/>
      </w:pPr>
      <w:r>
        <w:rPr>
          <w:noProof/>
          <w:lang w:val="de-DE" w:eastAsia="de-DE"/>
        </w:rPr>
        <w:pict>
          <v:line id="_x0000_s1051" style="position:absolute;left:0;text-align:left;flip:y;z-index:251653632" from="3in,12.45pt" to="348pt,21.45pt" strokecolor="#f9c" strokeweight="1.5pt">
            <v:stroke endarrow="block"/>
          </v:line>
        </w:pict>
      </w:r>
      <w:r>
        <w:rPr>
          <w:noProof/>
          <w:lang w:val="de-DE" w:eastAsia="de-DE"/>
        </w:rPr>
        <w:pict>
          <v:shape id="_x0000_s1052" type="#_x0000_t202" style="position:absolute;left:0;text-align:left;margin-left:348pt;margin-top:6pt;width:48pt;height:18pt;z-index:251651584" filled="f" stroked="f">
            <v:textbox style="mso-next-textbox:#_x0000_s1052">
              <w:txbxContent>
                <w:p w:rsidR="008D3B12" w:rsidRDefault="008D3B1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uva</w:t>
                  </w:r>
                </w:p>
              </w:txbxContent>
            </v:textbox>
          </v:shape>
        </w:pict>
      </w:r>
    </w:p>
    <w:p w:rsidR="008D3B12" w:rsidRDefault="008D3B12">
      <w:pPr>
        <w:ind w:firstLine="709"/>
      </w:pPr>
      <w:r>
        <w:rPr>
          <w:noProof/>
          <w:lang w:val="de-DE" w:eastAsia="de-DE"/>
        </w:rPr>
        <w:pict>
          <v:line id="_x0000_s1053" style="position:absolute;left:0;text-align:left;z-index:251665920" from="102pt,-.6pt" to="192pt,26.4pt" strokecolor="#6f6" strokeweight="1.5pt">
            <v:stroke endarrow="block"/>
          </v:line>
        </w:pict>
      </w:r>
      <w:r>
        <w:rPr>
          <w:noProof/>
          <w:lang w:val="de-DE" w:eastAsia="de-DE"/>
        </w:rPr>
        <w:pict>
          <v:line id="_x0000_s1054" style="position:absolute;left:0;text-align:left;flip:x;z-index:251655680" from="108pt,7.95pt" to="192pt,61.95pt" strokecolor="yellow" strokeweight="1.5pt">
            <v:stroke endarrow="block"/>
          </v:line>
        </w:pict>
      </w:r>
      <w:r>
        <w:rPr>
          <w:noProof/>
          <w:lang w:val="de-DE" w:eastAsia="de-DE"/>
        </w:rPr>
        <w:pict>
          <v:shape id="_x0000_s1055" type="#_x0000_t202" style="position:absolute;left:0;text-align:left;margin-left:1in;margin-top:10.2pt;width:48pt;height:27pt;z-index:251641344" filled="f" stroked="f">
            <v:textbox style="mso-next-textbox:#_x0000_s1055">
              <w:txbxContent>
                <w:p w:rsidR="008D3B12" w:rsidRDefault="008D3B1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Bacco</w:t>
                  </w:r>
                </w:p>
              </w:txbxContent>
            </v:textbox>
          </v:shape>
        </w:pict>
      </w:r>
      <w:r>
        <w:rPr>
          <w:noProof/>
          <w:lang w:val="de-DE" w:eastAsia="de-DE"/>
        </w:rPr>
        <w:pict>
          <v:oval id="_x0000_s1056" style="position:absolute;left:0;text-align:left;margin-left:60pt;margin-top:1.2pt;width:66pt;height:36pt;z-index:251639296"/>
        </w:pict>
      </w:r>
      <w:r>
        <w:rPr>
          <w:noProof/>
          <w:lang w:val="de-DE" w:eastAsia="de-DE"/>
        </w:rPr>
        <w:pict>
          <v:oval id="_x0000_s1057" style="position:absolute;left:0;text-align:left;margin-left:174pt;margin-top:10.2pt;width:66pt;height:36pt;z-index:251637248"/>
        </w:pict>
      </w:r>
    </w:p>
    <w:p w:rsidR="008D3B12" w:rsidRDefault="008D3B12">
      <w:pPr>
        <w:tabs>
          <w:tab w:val="left" w:pos="1185"/>
        </w:tabs>
        <w:spacing w:line="360" w:lineRule="auto"/>
        <w:ind w:firstLine="709"/>
        <w:jc w:val="both"/>
      </w:pPr>
      <w:r>
        <w:rPr>
          <w:noProof/>
          <w:lang w:val="de-DE" w:eastAsia="de-DE"/>
        </w:rPr>
        <w:pict>
          <v:line id="_x0000_s1058" style="position:absolute;left:0;text-align:left;flip:x y;z-index:251668992" from="108pt,3.6pt" to="222pt,84.6pt" strokecolor="#f93" strokeweight="1.5pt">
            <v:stroke endarrow="block"/>
          </v:line>
        </w:pict>
      </w:r>
      <w:r>
        <w:rPr>
          <w:noProof/>
          <w:lang w:val="de-DE" w:eastAsia="de-DE"/>
        </w:rPr>
        <w:pict>
          <v:shape id="_x0000_s1059" type="#_x0000_t202" style="position:absolute;left:0;text-align:left;margin-left:186pt;margin-top:5.4pt;width:48pt;height:27pt;z-index:251638272" filled="f" stroked="f">
            <v:textbox style="mso-next-textbox:#_x0000_s1059">
              <w:txbxContent>
                <w:p w:rsidR="008D3B12" w:rsidRDefault="008D3B1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vino</w:t>
                  </w:r>
                </w:p>
              </w:txbxContent>
            </v:textbox>
          </v:shape>
        </w:pict>
      </w:r>
    </w:p>
    <w:p w:rsidR="008D3B12" w:rsidRDefault="008D3B12">
      <w:pPr>
        <w:tabs>
          <w:tab w:val="left" w:pos="1545"/>
        </w:tabs>
        <w:spacing w:line="360" w:lineRule="auto"/>
        <w:ind w:left="357" w:firstLine="709"/>
        <w:jc w:val="both"/>
      </w:pPr>
      <w:r>
        <w:rPr>
          <w:noProof/>
          <w:lang w:val="de-DE" w:eastAsia="de-DE"/>
        </w:rPr>
        <w:pict>
          <v:line id="_x0000_s1060" style="position:absolute;left:0;text-align:left;flip:y;z-index:251662848" from="162pt,18.9pt" to="306pt,27.9pt" strokecolor="aqua" strokeweight="1.5pt">
            <v:stroke endarrow="block"/>
          </v:line>
        </w:pict>
      </w:r>
      <w:r>
        <w:rPr>
          <w:noProof/>
          <w:lang w:val="de-DE" w:eastAsia="de-DE"/>
        </w:rPr>
        <w:pict>
          <v:oval id="_x0000_s1061" style="position:absolute;left:0;text-align:left;margin-left:90pt;margin-top:18.35pt;width:66pt;height:36pt;z-index:251640320"/>
        </w:pict>
      </w:r>
      <w:r>
        <w:rPr>
          <w:noProof/>
          <w:lang w:val="de-DE" w:eastAsia="de-DE"/>
        </w:rPr>
        <w:pict>
          <v:shape id="_x0000_s1062" type="#_x0000_t202" style="position:absolute;left:0;text-align:left;margin-left:306pt;margin-top:11.7pt;width:42pt;height:18pt;z-index:251645440" filled="f" stroked="f">
            <v:textbox>
              <w:txbxContent>
                <w:p w:rsidR="008D3B12" w:rsidRDefault="008D3B1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litri</w:t>
                  </w:r>
                </w:p>
              </w:txbxContent>
            </v:textbox>
          </v:shape>
        </w:pict>
      </w:r>
      <w:r>
        <w:rPr>
          <w:noProof/>
          <w:lang w:val="de-DE" w:eastAsia="de-DE"/>
        </w:rPr>
        <w:pict>
          <v:oval id="_x0000_s1063" style="position:absolute;left:0;text-align:left;margin-left:294pt;margin-top:2.7pt;width:66pt;height:36pt;z-index:251646464" filled="f"/>
        </w:pict>
      </w:r>
      <w:r>
        <w:tab/>
      </w:r>
    </w:p>
    <w:p w:rsidR="008D3B12" w:rsidRDefault="008D3B12">
      <w:pPr>
        <w:tabs>
          <w:tab w:val="left" w:pos="1545"/>
        </w:tabs>
        <w:spacing w:line="360" w:lineRule="auto"/>
        <w:ind w:left="357" w:firstLine="709"/>
        <w:jc w:val="both"/>
      </w:pPr>
      <w:r>
        <w:rPr>
          <w:noProof/>
          <w:lang w:val="de-DE" w:eastAsia="de-DE"/>
        </w:rPr>
        <w:pict>
          <v:shape id="_x0000_s1064" type="#_x0000_t202" style="position:absolute;left:0;text-align:left;margin-left:96pt;margin-top:6.65pt;width:48pt;height:18pt;z-index:251642368" filled="f" stroked="f">
            <v:textbox>
              <w:txbxContent>
                <w:p w:rsidR="008D3B12" w:rsidRDefault="008D3B1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bicchiere</w:t>
                  </w:r>
                </w:p>
              </w:txbxContent>
            </v:textbox>
          </v:shape>
        </w:pict>
      </w:r>
    </w:p>
    <w:p w:rsidR="008D3B12" w:rsidRDefault="008D3B12">
      <w:pPr>
        <w:tabs>
          <w:tab w:val="left" w:pos="1545"/>
        </w:tabs>
        <w:spacing w:line="360" w:lineRule="auto"/>
        <w:ind w:left="357" w:firstLine="709"/>
        <w:jc w:val="both"/>
      </w:pPr>
      <w:r>
        <w:rPr>
          <w:noProof/>
          <w:lang w:val="de-DE" w:eastAsia="de-DE"/>
        </w:rPr>
        <w:pict>
          <v:line id="_x0000_s1065" style="position:absolute;left:0;text-align:left;flip:x y;z-index:251671040" from="294pt,13.55pt" to="444pt,49.55pt" strokeweight="1.5pt">
            <v:stroke endarrow="block"/>
          </v:line>
        </w:pict>
      </w:r>
      <w:r>
        <w:rPr>
          <w:noProof/>
          <w:lang w:val="de-DE" w:eastAsia="de-DE"/>
        </w:rPr>
        <w:pict>
          <v:oval id="_x0000_s1066" style="position:absolute;left:0;text-align:left;margin-left:228pt;margin-top:4.55pt;width:66pt;height:36pt;z-index:251644416" filled="f"/>
        </w:pict>
      </w:r>
      <w:r>
        <w:rPr>
          <w:noProof/>
          <w:lang w:val="de-DE" w:eastAsia="de-DE"/>
        </w:rPr>
        <w:pict>
          <v:shape id="_x0000_s1067" type="#_x0000_t202" style="position:absolute;left:0;text-align:left;margin-left:234pt;margin-top:13.55pt;width:48pt;height:18pt;z-index:251643392" filled="f" stroked="f">
            <v:textbox>
              <w:txbxContent>
                <w:p w:rsidR="008D3B12" w:rsidRDefault="008D3B12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ubriaco</w:t>
                  </w:r>
                </w:p>
              </w:txbxContent>
            </v:textbox>
          </v:shape>
        </w:pict>
      </w:r>
      <w:r>
        <w:tab/>
      </w:r>
    </w:p>
    <w:p w:rsidR="008D3B12" w:rsidRDefault="008D3B12">
      <w:pPr>
        <w:tabs>
          <w:tab w:val="left" w:pos="1545"/>
        </w:tabs>
        <w:spacing w:line="360" w:lineRule="auto"/>
        <w:ind w:left="357" w:firstLine="709"/>
        <w:jc w:val="both"/>
      </w:pPr>
      <w:r>
        <w:rPr>
          <w:noProof/>
          <w:lang w:val="de-DE" w:eastAsia="de-DE"/>
        </w:rPr>
        <w:pict>
          <v:line id="_x0000_s1068" style="position:absolute;left:0;text-align:left;flip:y;z-index:251667968" from="102pt,2pt" to="227.85pt,55.85pt" strokecolor="#f93" strokeweight="1.5pt">
            <v:stroke endarrow="block"/>
          </v:line>
        </w:pict>
      </w:r>
    </w:p>
    <w:p w:rsidR="008D3B12" w:rsidRDefault="008D3B12">
      <w:pPr>
        <w:tabs>
          <w:tab w:val="left" w:pos="1545"/>
        </w:tabs>
        <w:spacing w:line="360" w:lineRule="auto"/>
        <w:ind w:left="357" w:firstLine="709"/>
        <w:jc w:val="both"/>
      </w:pPr>
      <w:r>
        <w:rPr>
          <w:noProof/>
          <w:lang w:val="de-DE" w:eastAsia="de-DE"/>
        </w:rPr>
        <w:pict>
          <v:shape id="_x0000_s1069" type="#_x0000_t202" style="position:absolute;left:0;text-align:left;margin-left:372pt;margin-top:8.15pt;width:102pt;height:63pt;z-index:251670016" fillcolor="silver">
            <v:textbox>
              <w:txbxContent>
                <w:p w:rsidR="008D3B12" w:rsidRDefault="008D3B12">
                  <w:r>
                    <w:t xml:space="preserve">6. </w:t>
                  </w:r>
                  <w:r>
                    <w:rPr>
                      <w:i/>
                    </w:rPr>
                    <w:t>Litote</w:t>
                  </w:r>
                  <w:r>
                    <w:t>:</w:t>
                  </w:r>
                </w:p>
                <w:p w:rsidR="008D3B12" w:rsidRDefault="008D3B12">
                  <w:r>
                    <w:t>“non è sobrio” (</w:t>
                  </w:r>
                  <w:r>
                    <w:rPr>
                      <w:i/>
                    </w:rPr>
                    <w:t>scil</w:t>
                  </w:r>
                  <w:r>
                    <w:t>. è ubriaco)</w:t>
                  </w:r>
                </w:p>
              </w:txbxContent>
            </v:textbox>
          </v:shape>
        </w:pict>
      </w:r>
    </w:p>
    <w:p w:rsidR="008D3B12" w:rsidRDefault="008D3B12">
      <w:pPr>
        <w:tabs>
          <w:tab w:val="left" w:pos="1545"/>
        </w:tabs>
        <w:spacing w:line="360" w:lineRule="auto"/>
        <w:ind w:left="357" w:firstLine="709"/>
        <w:jc w:val="both"/>
      </w:pPr>
      <w:r>
        <w:rPr>
          <w:noProof/>
          <w:lang w:val="de-DE" w:eastAsia="de-DE"/>
        </w:rPr>
        <w:pict>
          <v:shape id="_x0000_s1070" type="#_x0000_t202" style="position:absolute;left:0;text-align:left;margin-left:174pt;margin-top:.05pt;width:120pt;height:27pt;z-index:251659776" filled="f" stroked="f">
            <v:textbox>
              <w:txbxContent>
                <w:p w:rsidR="008D3B12" w:rsidRDefault="008D3B12">
                  <w:pPr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campo semantico: bere vino</w:t>
                  </w:r>
                </w:p>
              </w:txbxContent>
            </v:textbox>
          </v:shape>
        </w:pict>
      </w:r>
      <w:r>
        <w:rPr>
          <w:noProof/>
          <w:lang w:val="de-DE" w:eastAsia="de-DE"/>
        </w:rPr>
        <w:pict>
          <v:shape id="_x0000_s1071" type="#_x0000_t202" style="position:absolute;left:0;text-align:left;margin-left:42pt;margin-top:14.45pt;width:96pt;height:81pt;z-index:251666944" fillcolor="#fc9">
            <v:textbox>
              <w:txbxContent>
                <w:p w:rsidR="008D3B12" w:rsidRDefault="008D3B12">
                  <w:r>
                    <w:t xml:space="preserve">5. </w:t>
                  </w:r>
                  <w:r>
                    <w:rPr>
                      <w:i/>
                    </w:rPr>
                    <w:t>Enfasi</w:t>
                  </w:r>
                  <w:r>
                    <w:t>: “eravamo in uno stato bacchico”</w:t>
                  </w:r>
                </w:p>
                <w:p w:rsidR="008D3B12" w:rsidRDefault="008D3B12">
                  <w:r>
                    <w:t>(</w:t>
                  </w:r>
                  <w:r>
                    <w:rPr>
                      <w:i/>
                    </w:rPr>
                    <w:t>scil</w:t>
                  </w:r>
                  <w:r>
                    <w:t>. eravamo ubriachi)</w:t>
                  </w:r>
                </w:p>
              </w:txbxContent>
            </v:textbox>
          </v:shape>
        </w:pict>
      </w:r>
    </w:p>
    <w:p w:rsidR="008D3B12" w:rsidRDefault="008D3B12">
      <w:pPr>
        <w:tabs>
          <w:tab w:val="left" w:pos="1545"/>
        </w:tabs>
        <w:spacing w:line="360" w:lineRule="auto"/>
        <w:ind w:left="357" w:firstLine="709"/>
        <w:jc w:val="both"/>
      </w:pPr>
    </w:p>
    <w:p w:rsidR="008D3B12" w:rsidRDefault="008D3B12">
      <w:pPr>
        <w:tabs>
          <w:tab w:val="left" w:pos="1545"/>
        </w:tabs>
        <w:spacing w:line="360" w:lineRule="auto"/>
        <w:ind w:left="357" w:firstLine="709"/>
        <w:jc w:val="both"/>
      </w:pPr>
    </w:p>
    <w:p w:rsidR="008D3B12" w:rsidRDefault="008D3B12">
      <w:pPr>
        <w:tabs>
          <w:tab w:val="left" w:pos="1545"/>
        </w:tabs>
        <w:spacing w:line="360" w:lineRule="auto"/>
        <w:ind w:left="357" w:firstLine="709"/>
        <w:jc w:val="both"/>
      </w:pPr>
    </w:p>
    <w:p w:rsidR="008D3B12" w:rsidRDefault="008D3B12">
      <w:pPr>
        <w:tabs>
          <w:tab w:val="left" w:pos="1545"/>
        </w:tabs>
        <w:spacing w:line="360" w:lineRule="auto"/>
        <w:ind w:left="357" w:firstLine="709"/>
        <w:jc w:val="both"/>
      </w:pPr>
    </w:p>
    <w:p w:rsidR="008D3B12" w:rsidRDefault="008D3B12">
      <w:pPr>
        <w:tabs>
          <w:tab w:val="left" w:pos="1545"/>
        </w:tabs>
        <w:spacing w:line="360" w:lineRule="auto"/>
        <w:ind w:left="357" w:firstLine="709"/>
        <w:jc w:val="both"/>
      </w:pPr>
    </w:p>
    <w:p w:rsidR="008D3B12" w:rsidRDefault="008D3B12">
      <w:pPr>
        <w:pStyle w:val="Caption"/>
      </w:pPr>
      <w:r>
        <w:t xml:space="preserve">Tropi di spostamento di limiti come svolta (della freccia semantica) </w:t>
      </w:r>
      <w:r>
        <w:rPr>
          <w:i/>
        </w:rPr>
        <w:t xml:space="preserve">interna </w:t>
      </w:r>
      <w:r>
        <w:t>al campo semantico.</w:t>
      </w:r>
    </w:p>
    <w:p w:rsidR="008D3B12" w:rsidRDefault="008D3B12">
      <w:pPr>
        <w:tabs>
          <w:tab w:val="left" w:pos="1545"/>
        </w:tabs>
        <w:spacing w:line="360" w:lineRule="auto"/>
        <w:ind w:left="357" w:firstLine="709"/>
        <w:jc w:val="both"/>
      </w:pPr>
    </w:p>
    <w:p w:rsidR="008D3B12" w:rsidRDefault="008D3B12">
      <w:pPr>
        <w:spacing w:line="360" w:lineRule="auto"/>
        <w:ind w:right="-54"/>
        <w:jc w:val="both"/>
      </w:pPr>
    </w:p>
    <w:p w:rsidR="008D3B12" w:rsidRDefault="008D3B12">
      <w:pPr>
        <w:numPr>
          <w:ilvl w:val="0"/>
          <w:numId w:val="2"/>
        </w:numPr>
        <w:tabs>
          <w:tab w:val="clear" w:pos="360"/>
        </w:tabs>
        <w:spacing w:line="360" w:lineRule="auto"/>
        <w:ind w:right="-54" w:hanging="120"/>
        <w:jc w:val="both"/>
      </w:pPr>
      <w:r>
        <w:t xml:space="preserve">   </w:t>
      </w:r>
      <w:r>
        <w:rPr>
          <w:b/>
          <w:bCs/>
        </w:rPr>
        <w:t>Approccio linguistico</w:t>
      </w:r>
      <w:r>
        <w:t xml:space="preserve"> (cap. II), indirizzato a indagare:</w:t>
      </w:r>
    </w:p>
    <w:p w:rsidR="008D3B12" w:rsidRDefault="008D3B12">
      <w:pPr>
        <w:numPr>
          <w:ilvl w:val="0"/>
          <w:numId w:val="3"/>
        </w:numPr>
        <w:spacing w:line="360" w:lineRule="auto"/>
        <w:ind w:right="-54"/>
        <w:jc w:val="both"/>
      </w:pPr>
      <w:r>
        <w:t>quali mezzi linguistici, di natura morfologica (morfologia nominale, verbale, di derivazione, di composizione) e sintattica (sintassi del nome, dei casi, del verbo, del periodo), sono stati coinvolti nella costruzione di questi tropi;</w:t>
      </w:r>
    </w:p>
    <w:p w:rsidR="008D3B12" w:rsidRDefault="008D3B12">
      <w:pPr>
        <w:numPr>
          <w:ilvl w:val="0"/>
          <w:numId w:val="3"/>
        </w:numPr>
        <w:spacing w:line="360" w:lineRule="auto"/>
        <w:ind w:right="-54"/>
        <w:jc w:val="both"/>
      </w:pPr>
      <w:r>
        <w:t xml:space="preserve">le questioni semantiche dei termini – tropo, analizzando il/i significato/i della parola, le eventuali mutamenti semantici che essa ha avuto nella storia della lingua latina, richiamandone, dove possibile, la radice indoeuropea. </w:t>
      </w:r>
    </w:p>
    <w:p w:rsidR="008D3B12" w:rsidRDefault="008D3B12">
      <w:pPr>
        <w:numPr>
          <w:ilvl w:val="0"/>
          <w:numId w:val="3"/>
        </w:numPr>
        <w:spacing w:line="360" w:lineRule="auto"/>
        <w:ind w:right="-54"/>
        <w:jc w:val="both"/>
      </w:pPr>
    </w:p>
    <w:p w:rsidR="008D3B12" w:rsidRDefault="008D3B12">
      <w:pPr>
        <w:spacing w:line="360" w:lineRule="auto"/>
        <w:ind w:left="708" w:right="-54"/>
        <w:jc w:val="both"/>
      </w:pPr>
      <w:r>
        <w:rPr>
          <w:b/>
          <w:bCs/>
        </w:rPr>
        <w:t>ESEMPIO</w:t>
      </w:r>
      <w:r>
        <w:t xml:space="preserve">:  il sostantivo </w:t>
      </w:r>
      <w:r>
        <w:rPr>
          <w:i/>
        </w:rPr>
        <w:t>caput</w:t>
      </w:r>
      <w:r>
        <w:t>: costruito su *</w:t>
      </w:r>
      <w:r>
        <w:rPr>
          <w:i/>
        </w:rPr>
        <w:t>kaput-</w:t>
      </w:r>
      <w:r>
        <w:t xml:space="preserve">, è termine popolare per </w:t>
      </w:r>
      <w:r>
        <w:rPr>
          <w:i/>
        </w:rPr>
        <w:t>cerebrum</w:t>
      </w:r>
      <w:r>
        <w:t xml:space="preserve"> e ha diversi significati: </w:t>
      </w:r>
    </w:p>
    <w:p w:rsidR="008D3B12" w:rsidRDefault="008D3B12">
      <w:pPr>
        <w:numPr>
          <w:ilvl w:val="0"/>
          <w:numId w:val="6"/>
        </w:numPr>
        <w:spacing w:line="360" w:lineRule="auto"/>
        <w:ind w:right="-54"/>
        <w:jc w:val="both"/>
      </w:pPr>
      <w:r>
        <w:t>s. proprio: “testa” di uomo o animale (</w:t>
      </w:r>
      <w:r>
        <w:rPr>
          <w:i/>
        </w:rPr>
        <w:t>Miles,</w:t>
      </w:r>
      <w:r>
        <w:t xml:space="preserve"> 294: </w:t>
      </w:r>
      <w:r>
        <w:rPr>
          <w:i/>
        </w:rPr>
        <w:t xml:space="preserve">tuis nunc cruribus </w:t>
      </w:r>
      <w:r>
        <w:t>capitique</w:t>
      </w:r>
      <w:r>
        <w:rPr>
          <w:i/>
        </w:rPr>
        <w:t xml:space="preserve"> fraudem capitalem hinc creas</w:t>
      </w:r>
      <w:r>
        <w:t>, “adesso crei un pericolo capitale alle ginocchia e alla testa”);</w:t>
      </w:r>
    </w:p>
    <w:p w:rsidR="008D3B12" w:rsidRDefault="008D3B12">
      <w:pPr>
        <w:numPr>
          <w:ilvl w:val="0"/>
          <w:numId w:val="6"/>
        </w:numPr>
        <w:spacing w:line="360" w:lineRule="auto"/>
        <w:ind w:right="-54"/>
        <w:jc w:val="both"/>
      </w:pPr>
      <w:r>
        <w:t xml:space="preserve">s. metonimico: </w:t>
      </w:r>
    </w:p>
    <w:p w:rsidR="008D3B12" w:rsidRDefault="008D3B12">
      <w:pPr>
        <w:numPr>
          <w:ilvl w:val="1"/>
          <w:numId w:val="6"/>
        </w:numPr>
        <w:spacing w:line="360" w:lineRule="auto"/>
        <w:ind w:right="-54"/>
        <w:jc w:val="both"/>
      </w:pPr>
      <w:r>
        <w:t xml:space="preserve">la persona intera (vedi </w:t>
      </w:r>
      <w:r>
        <w:rPr>
          <w:i/>
        </w:rPr>
        <w:t xml:space="preserve">meum caput, capite censi, </w:t>
      </w:r>
      <w:r>
        <w:t xml:space="preserve">o in </w:t>
      </w:r>
      <w:r>
        <w:rPr>
          <w:i/>
        </w:rPr>
        <w:t xml:space="preserve">Miles, </w:t>
      </w:r>
      <w:r>
        <w:t xml:space="preserve">725: </w:t>
      </w:r>
      <w:r>
        <w:rPr>
          <w:i/>
        </w:rPr>
        <w:t xml:space="preserve">O lepidum caput, </w:t>
      </w:r>
      <w:r>
        <w:t>“oh, che bella persona!”);</w:t>
      </w:r>
    </w:p>
    <w:p w:rsidR="008D3B12" w:rsidRDefault="008D3B12">
      <w:pPr>
        <w:numPr>
          <w:ilvl w:val="1"/>
          <w:numId w:val="6"/>
        </w:numPr>
        <w:spacing w:line="360" w:lineRule="auto"/>
        <w:ind w:right="-54"/>
        <w:jc w:val="both"/>
      </w:pPr>
      <w:r>
        <w:t xml:space="preserve">la </w:t>
      </w:r>
      <w:r>
        <w:rPr>
          <w:i/>
        </w:rPr>
        <w:t>mens</w:t>
      </w:r>
      <w:r>
        <w:t xml:space="preserve"> (“contenente per contenuto”);</w:t>
      </w:r>
    </w:p>
    <w:p w:rsidR="008D3B12" w:rsidRDefault="008D3B12">
      <w:pPr>
        <w:numPr>
          <w:ilvl w:val="0"/>
          <w:numId w:val="6"/>
        </w:numPr>
        <w:spacing w:line="360" w:lineRule="auto"/>
        <w:ind w:right="-54"/>
        <w:jc w:val="both"/>
      </w:pPr>
      <w:r>
        <w:t xml:space="preserve">s. per estensione: una cosa “capitale”, ovvero “vitale”, diventa sinonimo di </w:t>
      </w:r>
      <w:r>
        <w:rPr>
          <w:i/>
        </w:rPr>
        <w:t>res gravissima</w:t>
      </w:r>
      <w:r>
        <w:t xml:space="preserve">, “cosa di estrema importanza” (v. </w:t>
      </w:r>
      <w:r>
        <w:rPr>
          <w:i/>
        </w:rPr>
        <w:t>Miles,</w:t>
      </w:r>
      <w:r>
        <w:t xml:space="preserve"> 294: </w:t>
      </w:r>
      <w:r>
        <w:rPr>
          <w:i/>
        </w:rPr>
        <w:t xml:space="preserve">tuis nunc cruribus capitique fraudem </w:t>
      </w:r>
      <w:r>
        <w:t>capitalem</w:t>
      </w:r>
      <w:r>
        <w:rPr>
          <w:i/>
        </w:rPr>
        <w:t xml:space="preserve"> hinc creas</w:t>
      </w:r>
      <w:r>
        <w:t>, “adesso crei un pericolo capitale alle ginocchia e alla testa”);</w:t>
      </w:r>
    </w:p>
    <w:p w:rsidR="008D3B12" w:rsidRDefault="008D3B12">
      <w:pPr>
        <w:numPr>
          <w:ilvl w:val="0"/>
          <w:numId w:val="6"/>
        </w:numPr>
        <w:spacing w:line="360" w:lineRule="auto"/>
        <w:ind w:right="-54"/>
        <w:jc w:val="both"/>
      </w:pPr>
      <w:r>
        <w:t>s.  per estensione, ma applicato a oggetti inanimati, significa “sommità, cima”.</w:t>
      </w:r>
    </w:p>
    <w:p w:rsidR="008D3B12" w:rsidRDefault="008D3B12">
      <w:pPr>
        <w:spacing w:line="360" w:lineRule="auto"/>
        <w:ind w:right="-54"/>
        <w:jc w:val="both"/>
      </w:pPr>
    </w:p>
    <w:p w:rsidR="008D3B12" w:rsidRDefault="008D3B12">
      <w:pPr>
        <w:spacing w:line="360" w:lineRule="auto"/>
        <w:ind w:right="-54"/>
        <w:jc w:val="both"/>
        <w:rPr>
          <w:b/>
          <w:bCs/>
        </w:rPr>
      </w:pPr>
      <w:r>
        <w:rPr>
          <w:b/>
          <w:bCs/>
        </w:rPr>
        <w:t>III. CONCLUSIONI RAGGIUNTE (E PROSPETTIVE DI RICERCA):</w:t>
      </w:r>
    </w:p>
    <w:p w:rsidR="008D3B12" w:rsidRDefault="008D3B12">
      <w:pPr>
        <w:numPr>
          <w:ilvl w:val="0"/>
          <w:numId w:val="4"/>
        </w:numPr>
        <w:spacing w:line="360" w:lineRule="auto"/>
        <w:jc w:val="both"/>
      </w:pPr>
      <w:r>
        <w:t xml:space="preserve">individuazione dei cosiddetti </w:t>
      </w:r>
      <w:r>
        <w:rPr>
          <w:i/>
        </w:rPr>
        <w:t>tropi composti,</w:t>
      </w:r>
      <w:r>
        <w:t xml:space="preserve"> nei quali la combinazione di due o più figure retoriche aumenta la forza comica del testo. Un caso di </w:t>
      </w:r>
    </w:p>
    <w:p w:rsidR="008D3B12" w:rsidRDefault="008D3B12">
      <w:pPr>
        <w:spacing w:line="360" w:lineRule="auto"/>
        <w:ind w:left="708" w:firstLine="348"/>
        <w:jc w:val="both"/>
      </w:pPr>
      <w:r>
        <w:t xml:space="preserve">“sinergia” di più tropi è in </w:t>
      </w:r>
    </w:p>
    <w:p w:rsidR="008D3B12" w:rsidRDefault="008D3B12">
      <w:pPr>
        <w:spacing w:line="360" w:lineRule="auto"/>
        <w:ind w:left="708" w:firstLine="348"/>
        <w:jc w:val="both"/>
      </w:pPr>
      <w:r>
        <w:rPr>
          <w:i/>
        </w:rPr>
        <w:t xml:space="preserve">Amph. </w:t>
      </w:r>
      <w:r>
        <w:t xml:space="preserve">1029: </w:t>
      </w:r>
      <w:r>
        <w:rPr>
          <w:i/>
        </w:rPr>
        <w:t xml:space="preserve">Ulmorum Acheruntis, </w:t>
      </w:r>
      <w:r>
        <w:t xml:space="preserve">“cimitero di bastoni”, in cui intervengono metonimia (“olmi” per “bastoni”), sineddoche della </w:t>
      </w:r>
      <w:r>
        <w:rPr>
          <w:i/>
        </w:rPr>
        <w:t>pars pro toto</w:t>
      </w:r>
      <w:r>
        <w:t xml:space="preserve"> (il fiume Acheronte, per indicare l’Ade), antonomasia (“Ade”, per indicare genericamente un luogo di morte), e metafora (con cui l’</w:t>
      </w:r>
      <w:r>
        <w:rPr>
          <w:i/>
        </w:rPr>
        <w:t>ulmorum Acheruns</w:t>
      </w:r>
      <w:r>
        <w:t>, il luogo dove i randelli “muoiono”, distrutti a forza di colpi, viene identificato con la schiena dello schiavo punito dal padrone). Altro esempio frequente è l’</w:t>
      </w:r>
    </w:p>
    <w:p w:rsidR="008D3B12" w:rsidRDefault="008D3B12">
      <w:pPr>
        <w:spacing w:line="360" w:lineRule="auto"/>
        <w:ind w:left="708" w:firstLine="348"/>
        <w:jc w:val="both"/>
      </w:pPr>
      <w:r>
        <w:t xml:space="preserve">“iperbole ironica”, come in </w:t>
      </w:r>
      <w:r>
        <w:rPr>
          <w:i/>
        </w:rPr>
        <w:t xml:space="preserve">Miles, </w:t>
      </w:r>
      <w:r>
        <w:t xml:space="preserve">16-17: </w:t>
      </w:r>
      <w:r>
        <w:rPr>
          <w:i/>
        </w:rPr>
        <w:t xml:space="preserve">Nempe illum dicis cum auris aureis/ cuius tu legiones difflavisti spiritu, </w:t>
      </w:r>
      <w:r>
        <w:t>“e non dici di quello con le armi dorate, di cui tu spazzasti via con un soffio le legioni”);</w:t>
      </w:r>
      <w:r>
        <w:rPr>
          <w:color w:val="FF0000"/>
        </w:rPr>
        <w:t xml:space="preserve"> </w:t>
      </w:r>
    </w:p>
    <w:p w:rsidR="008D3B12" w:rsidRDefault="008D3B12">
      <w:pPr>
        <w:numPr>
          <w:ilvl w:val="0"/>
          <w:numId w:val="4"/>
        </w:numPr>
        <w:spacing w:line="360" w:lineRule="auto"/>
        <w:ind w:right="-54"/>
        <w:jc w:val="both"/>
      </w:pPr>
      <w:r>
        <w:t xml:space="preserve">individuazione di mezzi preferenziali per la costruzione di espressioni comiche, sia stilistici (ironia, eufemismo, metafora, </w:t>
      </w:r>
      <w:r>
        <w:rPr>
          <w:i/>
        </w:rPr>
        <w:t>ambiguum</w:t>
      </w:r>
      <w:r>
        <w:t xml:space="preserve">), sia linguistici (suffissazione, specie i suffissi </w:t>
      </w:r>
      <w:r>
        <w:rPr>
          <w:i/>
        </w:rPr>
        <w:t xml:space="preserve">-on,  </w:t>
      </w:r>
      <w:r>
        <w:t>-</w:t>
      </w:r>
      <w:r>
        <w:rPr>
          <w:i/>
        </w:rPr>
        <w:t xml:space="preserve">osus </w:t>
      </w:r>
      <w:r>
        <w:t xml:space="preserve">e </w:t>
      </w:r>
      <w:r>
        <w:rPr>
          <w:i/>
        </w:rPr>
        <w:t>-arius</w:t>
      </w:r>
      <w:r>
        <w:t xml:space="preserve">; composizione nominale; paratassi; uso di “verbi generici”, del tipo </w:t>
      </w:r>
      <w:r>
        <w:rPr>
          <w:i/>
        </w:rPr>
        <w:t xml:space="preserve">esse, habere, facere, </w:t>
      </w:r>
      <w:r>
        <w:t xml:space="preserve">accompagnati eventualmente da un sostantivo specifico o preposizioni, come in </w:t>
      </w:r>
      <w:r>
        <w:rPr>
          <w:i/>
        </w:rPr>
        <w:t xml:space="preserve">Amph., </w:t>
      </w:r>
      <w:r>
        <w:t xml:space="preserve">180: </w:t>
      </w:r>
      <w:r>
        <w:rPr>
          <w:i/>
        </w:rPr>
        <w:t>…mihi in mentem fuit</w:t>
      </w:r>
      <w:r>
        <w:t xml:space="preserve">, “mi venne in mente”; </w:t>
      </w:r>
      <w:r>
        <w:rPr>
          <w:i/>
        </w:rPr>
        <w:t xml:space="preserve">Sat. </w:t>
      </w:r>
      <w:r>
        <w:t xml:space="preserve">75,11: </w:t>
      </w:r>
      <w:r>
        <w:rPr>
          <w:i/>
        </w:rPr>
        <w:t xml:space="preserve">fui ad delicias femina ipsimi, </w:t>
      </w:r>
      <w:r>
        <w:t xml:space="preserve">lett. “*fui alle delizie con la moglie del padrone”,  ovvero “ebbi una relazione con la moglie del padrone”; </w:t>
      </w:r>
      <w:r>
        <w:rPr>
          <w:i/>
        </w:rPr>
        <w:t xml:space="preserve">Miles </w:t>
      </w:r>
      <w:r>
        <w:t xml:space="preserve">164; qui l’autore sceglie il costrutto </w:t>
      </w:r>
      <w:r>
        <w:rPr>
          <w:i/>
        </w:rPr>
        <w:t xml:space="preserve">legi fraudem faciant, </w:t>
      </w:r>
      <w:r>
        <w:t xml:space="preserve">al posto di </w:t>
      </w:r>
      <w:r>
        <w:rPr>
          <w:i/>
        </w:rPr>
        <w:t>fraudare legem</w:t>
      </w:r>
      <w:r>
        <w:t xml:space="preserve">); </w:t>
      </w:r>
    </w:p>
    <w:p w:rsidR="008D3B12" w:rsidRDefault="008D3B12">
      <w:pPr>
        <w:numPr>
          <w:ilvl w:val="0"/>
          <w:numId w:val="4"/>
        </w:numPr>
        <w:spacing w:line="360" w:lineRule="auto"/>
        <w:jc w:val="both"/>
        <w:rPr>
          <w:color w:val="FF0000"/>
        </w:rPr>
      </w:pPr>
      <w:r>
        <w:t xml:space="preserve">identificazione di punti di contatto tra strumenti stilistici e linguistici; verifica della tendenza all’uso di alcuni mezzi morfologici, sintattici o semantici, rispetto ad altri, nella costruzione di una particolare figura retorica con </w:t>
      </w:r>
      <w:r>
        <w:rPr>
          <w:i/>
        </w:rPr>
        <w:t xml:space="preserve">vis </w:t>
      </w:r>
      <w:r>
        <w:t xml:space="preserve">comica: ad es., </w:t>
      </w:r>
    </w:p>
    <w:p w:rsidR="008D3B12" w:rsidRDefault="008D3B12">
      <w:pPr>
        <w:spacing w:line="360" w:lineRule="auto"/>
        <w:ind w:left="708" w:firstLine="348"/>
        <w:jc w:val="both"/>
      </w:pPr>
      <w:r>
        <w:t>combinazione di ironia e composizione nominale (</w:t>
      </w:r>
      <w:r>
        <w:rPr>
          <w:i/>
        </w:rPr>
        <w:t xml:space="preserve">Amph. </w:t>
      </w:r>
      <w:r>
        <w:t xml:space="preserve">297: </w:t>
      </w:r>
      <w:r>
        <w:rPr>
          <w:i/>
        </w:rPr>
        <w:t>misericors</w:t>
      </w:r>
      <w:r>
        <w:t xml:space="preserve">; </w:t>
      </w:r>
      <w:r>
        <w:rPr>
          <w:i/>
        </w:rPr>
        <w:t xml:space="preserve">Miles </w:t>
      </w:r>
      <w:r>
        <w:t xml:space="preserve">14: </w:t>
      </w:r>
      <w:r>
        <w:rPr>
          <w:i/>
        </w:rPr>
        <w:t>Bumbomachides Clutomestoridysarchides</w:t>
      </w:r>
      <w:r>
        <w:t xml:space="preserve">); </w:t>
      </w:r>
    </w:p>
    <w:p w:rsidR="008D3B12" w:rsidRDefault="008D3B12">
      <w:pPr>
        <w:spacing w:line="360" w:lineRule="auto"/>
        <w:ind w:left="1056"/>
        <w:jc w:val="both"/>
        <w:rPr>
          <w:i/>
        </w:rPr>
      </w:pPr>
      <w:r>
        <w:t xml:space="preserve">eufemismo e suffissazione (specie </w:t>
      </w:r>
      <w:r>
        <w:rPr>
          <w:i/>
        </w:rPr>
        <w:t>–arius</w:t>
      </w:r>
      <w:r>
        <w:t xml:space="preserve">: </w:t>
      </w:r>
      <w:r>
        <w:rPr>
          <w:i/>
        </w:rPr>
        <w:t xml:space="preserve">Amph. </w:t>
      </w:r>
      <w:r>
        <w:t xml:space="preserve">498: </w:t>
      </w:r>
      <w:r>
        <w:rPr>
          <w:i/>
        </w:rPr>
        <w:t xml:space="preserve">usuraria, Sat. </w:t>
      </w:r>
      <w:r>
        <w:t xml:space="preserve">43,8: </w:t>
      </w:r>
      <w:r>
        <w:rPr>
          <w:i/>
        </w:rPr>
        <w:t xml:space="preserve"> puellarius</w:t>
      </w:r>
      <w:r>
        <w:t xml:space="preserve">); iperbole ironica e composizione nominale (vd. i nomi propri </w:t>
      </w:r>
      <w:r>
        <w:rPr>
          <w:i/>
        </w:rPr>
        <w:t>Pyrgopolynices,</w:t>
      </w:r>
    </w:p>
    <w:p w:rsidR="008D3B12" w:rsidRDefault="008D3B12">
      <w:pPr>
        <w:spacing w:line="360" w:lineRule="auto"/>
        <w:ind w:left="1056"/>
        <w:jc w:val="both"/>
      </w:pPr>
      <w:r>
        <w:rPr>
          <w:i/>
        </w:rPr>
        <w:t>Trimalchio</w:t>
      </w:r>
      <w:r>
        <w:t xml:space="preserve">); </w:t>
      </w:r>
    </w:p>
    <w:p w:rsidR="008D3B12" w:rsidRDefault="008D3B12">
      <w:pPr>
        <w:spacing w:line="360" w:lineRule="auto"/>
        <w:ind w:left="1056"/>
        <w:jc w:val="both"/>
      </w:pPr>
      <w:r>
        <w:t xml:space="preserve">antonomasia e suffissazione (in aggettivi costruiti a partire da un tema nominale che è </w:t>
      </w:r>
    </w:p>
    <w:p w:rsidR="008D3B12" w:rsidRDefault="008D3B12">
      <w:pPr>
        <w:spacing w:line="360" w:lineRule="auto"/>
        <w:ind w:left="708"/>
        <w:jc w:val="both"/>
        <w:rPr>
          <w:iCs/>
        </w:rPr>
      </w:pPr>
      <w:r>
        <w:t xml:space="preserve">interessato da antonomasia, come </w:t>
      </w:r>
      <w:r>
        <w:rPr>
          <w:i/>
          <w:iCs/>
        </w:rPr>
        <w:t xml:space="preserve">acherunticus, </w:t>
      </w:r>
      <w:r>
        <w:rPr>
          <w:iCs/>
        </w:rPr>
        <w:t xml:space="preserve">in </w:t>
      </w:r>
      <w:r>
        <w:rPr>
          <w:i/>
          <w:iCs/>
        </w:rPr>
        <w:t xml:space="preserve">Miles </w:t>
      </w:r>
      <w:r>
        <w:rPr>
          <w:iCs/>
        </w:rPr>
        <w:t xml:space="preserve">627; </w:t>
      </w:r>
      <w:r>
        <w:rPr>
          <w:i/>
          <w:iCs/>
        </w:rPr>
        <w:t xml:space="preserve">aerumnosi, </w:t>
      </w:r>
      <w:r>
        <w:rPr>
          <w:iCs/>
        </w:rPr>
        <w:t xml:space="preserve">in </w:t>
      </w:r>
      <w:r>
        <w:rPr>
          <w:i/>
          <w:iCs/>
        </w:rPr>
        <w:t xml:space="preserve">Sat. </w:t>
      </w:r>
      <w:r>
        <w:rPr>
          <w:iCs/>
        </w:rPr>
        <w:t xml:space="preserve">39,12; </w:t>
      </w:r>
      <w:r>
        <w:rPr>
          <w:i/>
          <w:iCs/>
        </w:rPr>
        <w:t xml:space="preserve">Scytolatronia, </w:t>
      </w:r>
      <w:r>
        <w:rPr>
          <w:iCs/>
        </w:rPr>
        <w:t xml:space="preserve">in </w:t>
      </w:r>
      <w:r>
        <w:rPr>
          <w:i/>
          <w:iCs/>
        </w:rPr>
        <w:t xml:space="preserve">Miles </w:t>
      </w:r>
      <w:r>
        <w:rPr>
          <w:iCs/>
        </w:rPr>
        <w:t>43).</w:t>
      </w:r>
    </w:p>
    <w:p w:rsidR="008D3B12" w:rsidRDefault="008D3B12">
      <w:pPr>
        <w:spacing w:line="360" w:lineRule="auto"/>
        <w:ind w:left="708"/>
        <w:jc w:val="center"/>
        <w:rPr>
          <w:color w:val="FF0000"/>
        </w:rPr>
      </w:pPr>
    </w:p>
    <w:p w:rsidR="008D3B12" w:rsidRDefault="008D3B12">
      <w:pPr>
        <w:spacing w:line="360" w:lineRule="auto"/>
        <w:ind w:firstLine="708"/>
        <w:jc w:val="center"/>
        <w:rPr>
          <w:b/>
        </w:rPr>
      </w:pPr>
      <w:r>
        <w:rPr>
          <w:b/>
        </w:rPr>
        <w:t>CENNI BIBLIOGRAFICI</w:t>
      </w:r>
    </w:p>
    <w:p w:rsidR="008D3B12" w:rsidRDefault="008D3B12">
      <w:pPr>
        <w:ind w:firstLine="708"/>
        <w:jc w:val="center"/>
        <w:rPr>
          <w:b/>
        </w:rPr>
      </w:pPr>
    </w:p>
    <w:p w:rsidR="008D3B12" w:rsidRDefault="008D3B12">
      <w:pPr>
        <w:ind w:left="1416" w:hanging="696"/>
        <w:jc w:val="both"/>
        <w:rPr>
          <w:lang w:val="fr-FR"/>
        </w:rPr>
      </w:pPr>
      <w:r>
        <w:rPr>
          <w:lang w:val="fr-FR"/>
        </w:rPr>
        <w:t xml:space="preserve">BADER, F. (1962), </w:t>
      </w:r>
      <w:r>
        <w:rPr>
          <w:i/>
          <w:lang w:val="fr-FR"/>
        </w:rPr>
        <w:t xml:space="preserve">La formation des composés nominaux du latin, </w:t>
      </w:r>
      <w:r>
        <w:rPr>
          <w:lang w:val="fr-FR"/>
        </w:rPr>
        <w:t xml:space="preserve">Les Belles Lettres, Paris ; </w:t>
      </w:r>
    </w:p>
    <w:p w:rsidR="008D3B12" w:rsidRDefault="008D3B12">
      <w:pPr>
        <w:ind w:left="1416" w:hanging="696"/>
        <w:jc w:val="both"/>
      </w:pPr>
      <w:r>
        <w:rPr>
          <w:smallCaps/>
        </w:rPr>
        <w:t>BAGNANI, G. (</w:t>
      </w:r>
      <w:r>
        <w:t>1954), “Trimalchio”</w:t>
      </w:r>
      <w:r>
        <w:rPr>
          <w:i/>
        </w:rPr>
        <w:t>, The Phoenix</w:t>
      </w:r>
      <w:r>
        <w:t>,</w:t>
      </w:r>
      <w:r>
        <w:rPr>
          <w:i/>
        </w:rPr>
        <w:t xml:space="preserve"> </w:t>
      </w:r>
      <w:r>
        <w:t>8: 77-91 ;</w:t>
      </w:r>
    </w:p>
    <w:p w:rsidR="008D3B12" w:rsidRDefault="008D3B12">
      <w:pPr>
        <w:ind w:left="1416" w:hanging="696"/>
        <w:jc w:val="both"/>
      </w:pPr>
      <w:r>
        <w:rPr>
          <w:lang w:val="fr-FR"/>
        </w:rPr>
        <w:t xml:space="preserve">BENVENISTE, E. (1962), </w:t>
      </w:r>
      <w:r>
        <w:rPr>
          <w:i/>
          <w:lang w:val="fr-FR"/>
        </w:rPr>
        <w:t xml:space="preserve">Origines de la formation des nomes en indo-européen, </w:t>
      </w:r>
      <w:r>
        <w:rPr>
          <w:lang w:val="fr-FR"/>
        </w:rPr>
        <w:t xml:space="preserve">Masonneuve, Paris ; BENVENISTE, E. (1976 e 2001), </w:t>
      </w:r>
      <w:r>
        <w:rPr>
          <w:i/>
          <w:lang w:val="fr-FR"/>
        </w:rPr>
        <w:t>Il vocabolario delle istituzioni indoeuropee</w:t>
      </w:r>
      <w:r>
        <w:rPr>
          <w:lang w:val="fr-FR"/>
        </w:rPr>
        <w:t xml:space="preserve">, trad. it. </w:t>
      </w:r>
      <w:r>
        <w:t>M.</w:t>
      </w:r>
      <w:r>
        <w:rPr>
          <w:caps/>
        </w:rPr>
        <w:t xml:space="preserve"> </w:t>
      </w:r>
      <w:r>
        <w:rPr>
          <w:smallCaps/>
        </w:rPr>
        <w:t>Liborio</w:t>
      </w:r>
      <w:r>
        <w:t xml:space="preserve">, Einaudi, Torino ; </w:t>
      </w:r>
    </w:p>
    <w:p w:rsidR="008D3B12" w:rsidRDefault="008D3B12">
      <w:pPr>
        <w:ind w:left="1416" w:hanging="696"/>
        <w:jc w:val="both"/>
      </w:pPr>
      <w:r>
        <w:t xml:space="preserve">BUSSMANN, H. (2007), </w:t>
      </w:r>
      <w:r>
        <w:rPr>
          <w:i/>
        </w:rPr>
        <w:t xml:space="preserve">Lessico di linguistica, </w:t>
      </w:r>
      <w:r>
        <w:t>(traduzione italiana, adattamento e revisione sulla base della terza edizione originale, rivista ed ampliata a cura di P.</w:t>
      </w:r>
      <w:r>
        <w:rPr>
          <w:smallCaps/>
        </w:rPr>
        <w:t xml:space="preserve"> Cotticelli Kurras</w:t>
      </w:r>
      <w:r>
        <w:t xml:space="preserve">), Dell’Orso, Alessandria; </w:t>
      </w:r>
    </w:p>
    <w:p w:rsidR="008D3B12" w:rsidRDefault="008D3B12">
      <w:pPr>
        <w:ind w:left="1416" w:hanging="696"/>
        <w:jc w:val="both"/>
      </w:pPr>
      <w:r>
        <w:t>CAPPONI, F. (1983), “Oclopeta”,</w:t>
      </w:r>
      <w:r>
        <w:rPr>
          <w:i/>
        </w:rPr>
        <w:t xml:space="preserve"> Latomus</w:t>
      </w:r>
      <w:r>
        <w:t>,</w:t>
      </w:r>
      <w:r>
        <w:rPr>
          <w:i/>
        </w:rPr>
        <w:t xml:space="preserve"> </w:t>
      </w:r>
      <w:r>
        <w:t xml:space="preserve">62: 397-403; </w:t>
      </w:r>
    </w:p>
    <w:p w:rsidR="008D3B12" w:rsidRDefault="008D3B12">
      <w:pPr>
        <w:ind w:left="1416" w:hanging="696"/>
        <w:jc w:val="both"/>
      </w:pPr>
      <w:r>
        <w:t xml:space="preserve">CASADEI, F. (1996), </w:t>
      </w:r>
      <w:r>
        <w:rPr>
          <w:i/>
        </w:rPr>
        <w:t xml:space="preserve">Metafore ed espressioni idiomatiche: uno studio semantico dell’italiano, </w:t>
      </w:r>
      <w:r>
        <w:t xml:space="preserve">Bulzoni, Roma; </w:t>
      </w:r>
    </w:p>
    <w:p w:rsidR="008D3B12" w:rsidRDefault="008D3B12">
      <w:pPr>
        <w:ind w:left="1416" w:hanging="696"/>
        <w:jc w:val="both"/>
      </w:pPr>
      <w:r>
        <w:t xml:space="preserve">COSERIU, E. (1981), </w:t>
      </w:r>
      <w:r>
        <w:rPr>
          <w:i/>
        </w:rPr>
        <w:t xml:space="preserve">Sincronia, diacronia e storia: il problema del cambio linguistico, </w:t>
      </w:r>
      <w:r>
        <w:t xml:space="preserve">trad. it. di </w:t>
      </w:r>
      <w:r>
        <w:rPr>
          <w:smallCaps/>
        </w:rPr>
        <w:t xml:space="preserve">P. Mura, </w:t>
      </w:r>
      <w:r>
        <w:t>Boringhieri, Torino;</w:t>
      </w:r>
    </w:p>
    <w:p w:rsidR="008D3B12" w:rsidRDefault="008D3B12">
      <w:pPr>
        <w:ind w:left="1416" w:hanging="696"/>
        <w:jc w:val="both"/>
      </w:pPr>
      <w:r>
        <w:t xml:space="preserve">CUZZOLIN, P. (1994), </w:t>
      </w:r>
      <w:r>
        <w:rPr>
          <w:i/>
        </w:rPr>
        <w:t xml:space="preserve">Sull’origine della costruzione dicere quod: aspetti sintattici e semantici, </w:t>
      </w:r>
      <w:r>
        <w:t xml:space="preserve">La Nuova Italia, Firenze; </w:t>
      </w:r>
    </w:p>
    <w:p w:rsidR="008D3B12" w:rsidRDefault="008D3B12">
      <w:pPr>
        <w:ind w:left="1416" w:hanging="696"/>
        <w:jc w:val="both"/>
      </w:pPr>
      <w:r>
        <w:t>DARDANO, M. (1978</w:t>
      </w:r>
      <w:r>
        <w:rPr>
          <w:vertAlign w:val="superscript"/>
        </w:rPr>
        <w:t>3</w:t>
      </w:r>
      <w:r>
        <w:t xml:space="preserve">), </w:t>
      </w:r>
      <w:r>
        <w:rPr>
          <w:i/>
        </w:rPr>
        <w:t>La formazione delle parole nell’italiano di oggi</w:t>
      </w:r>
      <w:r>
        <w:t>, Bulzoni, Roma;</w:t>
      </w:r>
    </w:p>
    <w:p w:rsidR="008D3B12" w:rsidRDefault="008D3B12">
      <w:pPr>
        <w:ind w:left="1416" w:hanging="696"/>
        <w:jc w:val="both"/>
      </w:pPr>
      <w:r>
        <w:t>DELLA CORTE, F. (1967</w:t>
      </w:r>
      <w:r>
        <w:rPr>
          <w:vertAlign w:val="superscript"/>
        </w:rPr>
        <w:t>2</w:t>
      </w:r>
      <w:r>
        <w:t xml:space="preserve">), </w:t>
      </w:r>
      <w:r>
        <w:rPr>
          <w:i/>
        </w:rPr>
        <w:t xml:space="preserve">Da Sarsina a Roma: ricerche plautine, </w:t>
      </w:r>
      <w:r>
        <w:t xml:space="preserve">La Nuova Italia, Firenze; </w:t>
      </w:r>
    </w:p>
    <w:p w:rsidR="008D3B12" w:rsidRDefault="008D3B12">
      <w:pPr>
        <w:ind w:left="1416" w:hanging="696"/>
        <w:jc w:val="both"/>
      </w:pPr>
      <w:r>
        <w:t>DE MAURO, T. (1975</w:t>
      </w:r>
      <w:r>
        <w:rPr>
          <w:vertAlign w:val="superscript"/>
        </w:rPr>
        <w:t>3</w:t>
      </w:r>
      <w:r>
        <w:t xml:space="preserve">), </w:t>
      </w:r>
      <w:r>
        <w:rPr>
          <w:i/>
        </w:rPr>
        <w:t xml:space="preserve">Introduzione alla semantica, </w:t>
      </w:r>
      <w:r>
        <w:t xml:space="preserve">Laterza, Bari; </w:t>
      </w:r>
    </w:p>
    <w:p w:rsidR="008D3B12" w:rsidRDefault="008D3B12">
      <w:pPr>
        <w:ind w:left="1416" w:hanging="696"/>
        <w:jc w:val="both"/>
      </w:pPr>
      <w:r>
        <w:t xml:space="preserve">DEVOTO, G. (1944), </w:t>
      </w:r>
      <w:r>
        <w:rPr>
          <w:i/>
        </w:rPr>
        <w:t xml:space="preserve">Storia della lingua di Roma, </w:t>
      </w:r>
      <w:r>
        <w:t xml:space="preserve">Cappelli, Bologna; </w:t>
      </w:r>
    </w:p>
    <w:p w:rsidR="008D3B12" w:rsidRDefault="008D3B12">
      <w:pPr>
        <w:ind w:left="1416" w:hanging="696"/>
        <w:jc w:val="both"/>
      </w:pPr>
      <w:r>
        <w:t xml:space="preserve">DUBOIS, J. (1979), </w:t>
      </w:r>
      <w:r>
        <w:rPr>
          <w:i/>
        </w:rPr>
        <w:t xml:space="preserve">Dizionario di linguistica, </w:t>
      </w:r>
      <w:r>
        <w:t xml:space="preserve">Zanichelli, Bologna; </w:t>
      </w:r>
    </w:p>
    <w:p w:rsidR="008D3B12" w:rsidRDefault="008D3B12">
      <w:pPr>
        <w:ind w:left="1416" w:hanging="696"/>
        <w:jc w:val="both"/>
      </w:pPr>
      <w:r>
        <w:t xml:space="preserve">ERNOUT, A. (1949), </w:t>
      </w:r>
      <w:r>
        <w:rPr>
          <w:i/>
        </w:rPr>
        <w:t xml:space="preserve">Les adjectifs latins en –osus et en –ulentus, </w:t>
      </w:r>
      <w:r>
        <w:t xml:space="preserve">Klincksieck, Paris; </w:t>
      </w:r>
    </w:p>
    <w:p w:rsidR="008D3B12" w:rsidRDefault="008D3B12">
      <w:pPr>
        <w:ind w:left="1416" w:hanging="696"/>
        <w:jc w:val="both"/>
      </w:pPr>
      <w:r>
        <w:t xml:space="preserve">GAIDE, F. (1988), </w:t>
      </w:r>
      <w:r>
        <w:rPr>
          <w:i/>
        </w:rPr>
        <w:t xml:space="preserve">Les substantifs masculins en …(i)o, …(i)onis, </w:t>
      </w:r>
      <w:r>
        <w:t xml:space="preserve">Éditions Peeters, Louvain – Paris; </w:t>
      </w:r>
    </w:p>
    <w:p w:rsidR="008D3B12" w:rsidRDefault="008D3B12">
      <w:pPr>
        <w:ind w:left="1416" w:hanging="696"/>
        <w:jc w:val="both"/>
      </w:pPr>
      <w:r>
        <w:t xml:space="preserve">GRASSI, C. (1966), </w:t>
      </w:r>
      <w:r>
        <w:rPr>
          <w:i/>
        </w:rPr>
        <w:t xml:space="preserve">Problemi di sintassi latina: consecutio temporum e aspetto del verbo latino, </w:t>
      </w:r>
      <w:r>
        <w:t xml:space="preserve">La Nuova Italia, Firenze; </w:t>
      </w:r>
    </w:p>
    <w:p w:rsidR="008D3B12" w:rsidRDefault="008D3B12">
      <w:pPr>
        <w:ind w:left="1416" w:hanging="696"/>
        <w:jc w:val="both"/>
      </w:pPr>
      <w:r>
        <w:t xml:space="preserve">GUSMANI, R. (1983), </w:t>
      </w:r>
      <w:r>
        <w:rPr>
          <w:i/>
        </w:rPr>
        <w:t>Saggi sull’interferenza linguistica</w:t>
      </w:r>
      <w:r>
        <w:t xml:space="preserve">, Le Lettere, Firenze; </w:t>
      </w:r>
    </w:p>
    <w:p w:rsidR="008D3B12" w:rsidRDefault="008D3B12">
      <w:pPr>
        <w:ind w:left="1416" w:hanging="696"/>
        <w:jc w:val="both"/>
      </w:pPr>
      <w:r>
        <w:t xml:space="preserve">HENRY, A. (1975), </w:t>
      </w:r>
      <w:r>
        <w:rPr>
          <w:i/>
        </w:rPr>
        <w:t>Metonimia e metafora</w:t>
      </w:r>
      <w:r>
        <w:t>, trad. it. di P. M.</w:t>
      </w:r>
      <w:r>
        <w:rPr>
          <w:caps/>
        </w:rPr>
        <w:t xml:space="preserve"> </w:t>
      </w:r>
      <w:r>
        <w:rPr>
          <w:smallCaps/>
        </w:rPr>
        <w:t>Bertinetto</w:t>
      </w:r>
      <w:r>
        <w:t xml:space="preserve">, Einaudi, Torino; </w:t>
      </w:r>
    </w:p>
    <w:p w:rsidR="008D3B12" w:rsidRDefault="008D3B12">
      <w:pPr>
        <w:ind w:left="1416" w:hanging="696"/>
        <w:jc w:val="both"/>
      </w:pPr>
      <w:r>
        <w:t>HOFMANN, J. B. (2003</w:t>
      </w:r>
      <w:r>
        <w:rPr>
          <w:vertAlign w:val="superscript"/>
        </w:rPr>
        <w:t>3</w:t>
      </w:r>
      <w:r>
        <w:t xml:space="preserve">), </w:t>
      </w:r>
      <w:r>
        <w:rPr>
          <w:i/>
        </w:rPr>
        <w:t>La lingua d’uso latina</w:t>
      </w:r>
      <w:r>
        <w:t xml:space="preserve">, ed. it. a c. di L. </w:t>
      </w:r>
      <w:r>
        <w:rPr>
          <w:smallCaps/>
        </w:rPr>
        <w:t>Ricottilli</w:t>
      </w:r>
      <w:r>
        <w:t xml:space="preserve">, Patron, Bologna; </w:t>
      </w:r>
    </w:p>
    <w:p w:rsidR="008D3B12" w:rsidRDefault="008D3B12">
      <w:pPr>
        <w:ind w:left="1416" w:hanging="696"/>
        <w:jc w:val="both"/>
      </w:pPr>
      <w:r>
        <w:t xml:space="preserve">HOFMANN, J. B. (1965), </w:t>
      </w:r>
      <w:r>
        <w:rPr>
          <w:i/>
        </w:rPr>
        <w:t xml:space="preserve">Lateinische Syntax und Stilistik, </w:t>
      </w:r>
      <w:r>
        <w:t xml:space="preserve">Beck, Munchen; </w:t>
      </w:r>
    </w:p>
    <w:p w:rsidR="008D3B12" w:rsidRDefault="008D3B12">
      <w:pPr>
        <w:ind w:left="1416" w:hanging="696"/>
        <w:jc w:val="both"/>
      </w:pPr>
      <w:r>
        <w:rPr>
          <w:caps/>
        </w:rPr>
        <w:t xml:space="preserve">Hofmann, </w:t>
      </w:r>
      <w:r>
        <w:t xml:space="preserve">J. B., </w:t>
      </w:r>
      <w:r>
        <w:rPr>
          <w:caps/>
        </w:rPr>
        <w:t>Szantyr</w:t>
      </w:r>
      <w:r>
        <w:t xml:space="preserve">, </w:t>
      </w:r>
      <w:r>
        <w:rPr>
          <w:caps/>
        </w:rPr>
        <w:t>A. (</w:t>
      </w:r>
      <w:r>
        <w:t xml:space="preserve">2002), </w:t>
      </w:r>
      <w:r>
        <w:rPr>
          <w:i/>
        </w:rPr>
        <w:t>Stilistica latina</w:t>
      </w:r>
      <w:r>
        <w:t>, a c. di A.</w:t>
      </w:r>
      <w:r>
        <w:rPr>
          <w:caps/>
        </w:rPr>
        <w:t xml:space="preserve"> </w:t>
      </w:r>
      <w:r>
        <w:rPr>
          <w:smallCaps/>
        </w:rPr>
        <w:t>Traina</w:t>
      </w:r>
      <w:r>
        <w:t xml:space="preserve">, Patron, Bologna; </w:t>
      </w:r>
    </w:p>
    <w:p w:rsidR="008D3B12" w:rsidRDefault="008D3B12">
      <w:pPr>
        <w:ind w:left="1416" w:hanging="696"/>
        <w:jc w:val="both"/>
      </w:pPr>
      <w:r>
        <w:t xml:space="preserve">LAUSBERG, H. (1969), </w:t>
      </w:r>
      <w:r>
        <w:rPr>
          <w:i/>
        </w:rPr>
        <w:t>Elementi di retorica</w:t>
      </w:r>
      <w:r>
        <w:t>, trad. it. di L.</w:t>
      </w:r>
      <w:r>
        <w:rPr>
          <w:caps/>
        </w:rPr>
        <w:t xml:space="preserve"> </w:t>
      </w:r>
      <w:r>
        <w:rPr>
          <w:smallCaps/>
        </w:rPr>
        <w:t>Ritter Santini</w:t>
      </w:r>
      <w:r>
        <w:t xml:space="preserve">, il Mulino, Bologna; </w:t>
      </w:r>
    </w:p>
    <w:p w:rsidR="008D3B12" w:rsidRDefault="008D3B12">
      <w:pPr>
        <w:ind w:left="1416" w:hanging="696"/>
        <w:jc w:val="both"/>
      </w:pPr>
      <w:r>
        <w:t xml:space="preserve">LAZZERONI, R. (1987), </w:t>
      </w:r>
      <w:r>
        <w:rPr>
          <w:i/>
        </w:rPr>
        <w:t>Il mutamento linguistico</w:t>
      </w:r>
      <w:r>
        <w:t xml:space="preserve">, in E. </w:t>
      </w:r>
      <w:r>
        <w:rPr>
          <w:smallCaps/>
        </w:rPr>
        <w:t xml:space="preserve">Campanile </w:t>
      </w:r>
      <w:r>
        <w:t xml:space="preserve">(et al. eds.), </w:t>
      </w:r>
      <w:r>
        <w:rPr>
          <w:i/>
        </w:rPr>
        <w:t xml:space="preserve">Linguistica storica, </w:t>
      </w:r>
      <w:r>
        <w:t xml:space="preserve">a c. di R. Lazzeroni, La Nuova Italia scientifica, Roma; </w:t>
      </w:r>
    </w:p>
    <w:p w:rsidR="008D3B12" w:rsidRDefault="008D3B12">
      <w:pPr>
        <w:ind w:left="1416" w:hanging="696"/>
        <w:jc w:val="both"/>
      </w:pPr>
      <w:r>
        <w:t xml:space="preserve">LAZZERONI, R. (1963), “Per la storia dei sostantivi derivati in –on nelle lingue classiche”, </w:t>
      </w:r>
      <w:r>
        <w:rPr>
          <w:i/>
        </w:rPr>
        <w:t>Studi e saggi linguistici</w:t>
      </w:r>
      <w:r>
        <w:t>,</w:t>
      </w:r>
      <w:r>
        <w:rPr>
          <w:i/>
        </w:rPr>
        <w:t xml:space="preserve"> </w:t>
      </w:r>
      <w:r>
        <w:t xml:space="preserve">3: 1-48; </w:t>
      </w:r>
    </w:p>
    <w:p w:rsidR="008D3B12" w:rsidRDefault="008D3B12">
      <w:pPr>
        <w:ind w:left="1416" w:hanging="696"/>
        <w:jc w:val="both"/>
        <w:rPr>
          <w:lang w:val="de-DE"/>
        </w:rPr>
      </w:pPr>
      <w:r>
        <w:rPr>
          <w:lang w:val="de-DE"/>
        </w:rPr>
        <w:t xml:space="preserve">LEUMANN, M. (1972-79), </w:t>
      </w:r>
      <w:r>
        <w:rPr>
          <w:i/>
          <w:lang w:val="de-DE"/>
        </w:rPr>
        <w:t xml:space="preserve">Lateinische Grammatik: auf der Grundlage des Werkes, </w:t>
      </w:r>
      <w:r>
        <w:rPr>
          <w:lang w:val="de-DE"/>
        </w:rPr>
        <w:t xml:space="preserve">Beck, München; </w:t>
      </w:r>
    </w:p>
    <w:p w:rsidR="008D3B12" w:rsidRDefault="008D3B12">
      <w:pPr>
        <w:ind w:left="1416" w:hanging="696"/>
        <w:jc w:val="both"/>
        <w:rPr>
          <w:lang w:val="de-DE"/>
        </w:rPr>
      </w:pPr>
      <w:r>
        <w:rPr>
          <w:lang w:val="de-DE"/>
        </w:rPr>
        <w:t xml:space="preserve">LINDNER, T. (2002), </w:t>
      </w:r>
      <w:r>
        <w:rPr>
          <w:i/>
          <w:lang w:val="de-DE"/>
        </w:rPr>
        <w:t xml:space="preserve">Lateinisches Komposita. Morphologische, historische und lexikalische Studien, </w:t>
      </w:r>
      <w:r>
        <w:rPr>
          <w:lang w:val="de-DE"/>
        </w:rPr>
        <w:t xml:space="preserve">Innsbrucker Beiträge zur Sprachwissenschaft, Innsbruck; </w:t>
      </w:r>
    </w:p>
    <w:p w:rsidR="008D3B12" w:rsidRDefault="008D3B12">
      <w:pPr>
        <w:ind w:left="1416" w:hanging="696"/>
        <w:jc w:val="both"/>
        <w:rPr>
          <w:lang w:val="de-DE"/>
        </w:rPr>
      </w:pPr>
      <w:r>
        <w:rPr>
          <w:lang w:val="de-DE"/>
        </w:rPr>
        <w:t xml:space="preserve">MALTBY, R. (1991), </w:t>
      </w:r>
      <w:r>
        <w:rPr>
          <w:i/>
          <w:lang w:val="de-DE"/>
        </w:rPr>
        <w:t>A Lexicon of Ancient Latin Etymologies</w:t>
      </w:r>
      <w:r>
        <w:rPr>
          <w:lang w:val="de-DE"/>
        </w:rPr>
        <w:t xml:space="preserve">, F. Cairns, Leeds University; </w:t>
      </w:r>
    </w:p>
    <w:p w:rsidR="008D3B12" w:rsidRDefault="008D3B12">
      <w:pPr>
        <w:ind w:left="1416" w:hanging="696"/>
        <w:jc w:val="both"/>
      </w:pPr>
      <w:r>
        <w:rPr>
          <w:lang w:val="de-DE"/>
        </w:rPr>
        <w:t xml:space="preserve">MARBACH, A. (1931), </w:t>
      </w:r>
      <w:r>
        <w:rPr>
          <w:i/>
          <w:lang w:val="de-DE"/>
        </w:rPr>
        <w:t xml:space="preserve">Wortbildung, Wortwahl und Wortbedeutung als Mittel der Charakterzeichnung bei Petron, </w:t>
      </w:r>
      <w:r>
        <w:rPr>
          <w:lang w:val="de-DE"/>
        </w:rPr>
        <w:t xml:space="preserve">Diss. </w:t>
      </w:r>
      <w:r>
        <w:t xml:space="preserve">Giessen; </w:t>
      </w:r>
    </w:p>
    <w:p w:rsidR="008D3B12" w:rsidRDefault="008D3B12">
      <w:pPr>
        <w:ind w:left="1416" w:hanging="696"/>
        <w:jc w:val="both"/>
      </w:pPr>
      <w:r>
        <w:t xml:space="preserve">MARMORALE, E. V. (1948), </w:t>
      </w:r>
      <w:r>
        <w:rPr>
          <w:i/>
        </w:rPr>
        <w:t xml:space="preserve">La questione petroniana, </w:t>
      </w:r>
      <w:r>
        <w:t xml:space="preserve">Laterza, Bari; </w:t>
      </w:r>
    </w:p>
    <w:p w:rsidR="008D3B12" w:rsidRDefault="008D3B12">
      <w:pPr>
        <w:ind w:left="1416" w:hanging="696"/>
        <w:jc w:val="both"/>
      </w:pPr>
      <w:r>
        <w:t>MORENO CABRERA, J. C. (1998), “On</w:t>
      </w:r>
      <w:r>
        <w:rPr>
          <w:i/>
        </w:rPr>
        <w:t xml:space="preserve"> </w:t>
      </w:r>
      <w:r>
        <w:t>the relationship between grammaticalization and lexicalization”,</w:t>
      </w:r>
      <w:r>
        <w:rPr>
          <w:i/>
        </w:rPr>
        <w:t xml:space="preserve"> </w:t>
      </w:r>
      <w:r>
        <w:t xml:space="preserve">in GIACALONE RAMAT A. – HOPPER P. J. (eds.), </w:t>
      </w:r>
      <w:r>
        <w:rPr>
          <w:i/>
        </w:rPr>
        <w:t xml:space="preserve">The limits of grammaticalization, </w:t>
      </w:r>
      <w:r>
        <w:t xml:space="preserve">Benjamins, Amsterdam-Philadelphia: 211-227; MORTARA </w:t>
      </w:r>
    </w:p>
    <w:p w:rsidR="008D3B12" w:rsidRDefault="008D3B12">
      <w:pPr>
        <w:ind w:left="1416" w:hanging="696"/>
        <w:jc w:val="both"/>
      </w:pPr>
      <w:r>
        <w:t>GARAVELLI, B. (1988</w:t>
      </w:r>
      <w:r>
        <w:rPr>
          <w:vertAlign w:val="superscript"/>
        </w:rPr>
        <w:t>4</w:t>
      </w:r>
      <w:r>
        <w:t xml:space="preserve">), </w:t>
      </w:r>
      <w:r>
        <w:rPr>
          <w:i/>
        </w:rPr>
        <w:t>Manuale di retorica</w:t>
      </w:r>
      <w:r>
        <w:t xml:space="preserve">, Bompiani, Milano; </w:t>
      </w:r>
    </w:p>
    <w:p w:rsidR="008D3B12" w:rsidRDefault="008D3B12">
      <w:pPr>
        <w:ind w:left="1416" w:hanging="696"/>
        <w:jc w:val="both"/>
      </w:pPr>
      <w:r>
        <w:t xml:space="preserve">NAPOLI, M. (2007), “Latino </w:t>
      </w:r>
      <w:r>
        <w:rPr>
          <w:i/>
        </w:rPr>
        <w:t>habeo</w:t>
      </w:r>
      <w:r>
        <w:t xml:space="preserve"> più participio perfetto passivo. Riflessioni su grammatica e lessico”, </w:t>
      </w:r>
      <w:r>
        <w:rPr>
          <w:i/>
        </w:rPr>
        <w:t xml:space="preserve">Archivio Glottologico Italiano, </w:t>
      </w:r>
      <w:r>
        <w:t xml:space="preserve">vol. XCII/ I: 3-50; </w:t>
      </w:r>
    </w:p>
    <w:p w:rsidR="008D3B12" w:rsidRDefault="008D3B12">
      <w:pPr>
        <w:ind w:left="1416" w:hanging="696"/>
        <w:jc w:val="both"/>
      </w:pPr>
      <w:r>
        <w:t xml:space="preserve">ONIGA, R. (1988-1992), </w:t>
      </w:r>
      <w:r>
        <w:rPr>
          <w:i/>
        </w:rPr>
        <w:t xml:space="preserve">I composti nominali latini, </w:t>
      </w:r>
      <w:r>
        <w:t xml:space="preserve">Patron, Bologna; </w:t>
      </w:r>
    </w:p>
    <w:p w:rsidR="008D3B12" w:rsidRDefault="008D3B12">
      <w:pPr>
        <w:ind w:left="1416" w:hanging="696"/>
        <w:jc w:val="both"/>
      </w:pPr>
      <w:r>
        <w:t xml:space="preserve">OTTO, A. (1971), </w:t>
      </w:r>
      <w:r>
        <w:rPr>
          <w:i/>
        </w:rPr>
        <w:t>Die Sprichwörter und sprichwörtlichen Redensarten der Römer</w:t>
      </w:r>
      <w:r>
        <w:t xml:space="preserve">, (zweiter reprografischer Nachdruck der Ausgabe Leipzig, 1890), Georg Olms Verlag, Hildesheim, New York; </w:t>
      </w:r>
    </w:p>
    <w:p w:rsidR="008D3B12" w:rsidRDefault="008D3B12">
      <w:pPr>
        <w:ind w:left="1416" w:hanging="696"/>
        <w:jc w:val="both"/>
      </w:pPr>
      <w:r>
        <w:t xml:space="preserve">PALMER, L. R. (1977), </w:t>
      </w:r>
      <w:r>
        <w:rPr>
          <w:i/>
        </w:rPr>
        <w:t xml:space="preserve">La lingua latina, </w:t>
      </w:r>
      <w:r>
        <w:t>trad. it. di M.</w:t>
      </w:r>
      <w:r>
        <w:rPr>
          <w:smallCaps/>
        </w:rPr>
        <w:t xml:space="preserve"> Vitta</w:t>
      </w:r>
      <w:r>
        <w:t xml:space="preserve">, Einaudi, Torino; </w:t>
      </w:r>
    </w:p>
    <w:p w:rsidR="008D3B12" w:rsidRDefault="008D3B12">
      <w:pPr>
        <w:ind w:left="1416" w:hanging="696"/>
        <w:jc w:val="both"/>
      </w:pPr>
      <w:r>
        <w:t xml:space="preserve">PINKSTER, H. (1990), </w:t>
      </w:r>
      <w:r>
        <w:rPr>
          <w:i/>
        </w:rPr>
        <w:t>Latin syntax and semantics</w:t>
      </w:r>
      <w:r>
        <w:t xml:space="preserve">, translated by Hotze Mulder, Routledge, London, New York; </w:t>
      </w:r>
    </w:p>
    <w:p w:rsidR="008D3B12" w:rsidRDefault="008D3B12">
      <w:pPr>
        <w:ind w:left="1416" w:hanging="696"/>
        <w:jc w:val="both"/>
      </w:pPr>
      <w:r>
        <w:t>PISANI, V. (1975</w:t>
      </w:r>
      <w:r>
        <w:rPr>
          <w:vertAlign w:val="superscript"/>
        </w:rPr>
        <w:t>5</w:t>
      </w:r>
      <w:r>
        <w:t xml:space="preserve">), </w:t>
      </w:r>
      <w:r>
        <w:rPr>
          <w:i/>
        </w:rPr>
        <w:t xml:space="preserve">Introduzione alla linguistica indeuropea, </w:t>
      </w:r>
      <w:r>
        <w:t xml:space="preserve">Rosenberg &amp; Sellier, Torino; </w:t>
      </w:r>
    </w:p>
    <w:p w:rsidR="008D3B12" w:rsidRDefault="008D3B12">
      <w:pPr>
        <w:ind w:left="1416" w:hanging="696"/>
        <w:jc w:val="both"/>
      </w:pPr>
      <w:r>
        <w:t xml:space="preserve">POCCETTI, P. </w:t>
      </w:r>
      <w:r>
        <w:rPr>
          <w:iCs/>
          <w:smallCaps/>
        </w:rPr>
        <w:t>et al</w:t>
      </w:r>
      <w:r>
        <w:rPr>
          <w:i/>
        </w:rPr>
        <w:t>.</w:t>
      </w:r>
      <w:r>
        <w:t xml:space="preserve"> (1999)</w:t>
      </w:r>
      <w:r>
        <w:rPr>
          <w:i/>
        </w:rPr>
        <w:t xml:space="preserve">, Una storia della lingua latina, </w:t>
      </w:r>
      <w:r>
        <w:t xml:space="preserve">Carocci, Roma; </w:t>
      </w:r>
    </w:p>
    <w:p w:rsidR="008D3B12" w:rsidRDefault="008D3B12">
      <w:pPr>
        <w:ind w:left="1416" w:hanging="696"/>
        <w:jc w:val="both"/>
      </w:pPr>
      <w:r>
        <w:t xml:space="preserve">PREAUX, J. (1967), “Oclopeta”, </w:t>
      </w:r>
      <w:r>
        <w:rPr>
          <w:i/>
        </w:rPr>
        <w:t xml:space="preserve">Latomus, </w:t>
      </w:r>
      <w:r>
        <w:t xml:space="preserve">26: 1009-1014; </w:t>
      </w:r>
    </w:p>
    <w:p w:rsidR="008D3B12" w:rsidRDefault="008D3B12">
      <w:pPr>
        <w:ind w:left="1416" w:hanging="696"/>
        <w:jc w:val="both"/>
      </w:pPr>
      <w:r>
        <w:t xml:space="preserve">PRIULI, S. (1975), </w:t>
      </w:r>
      <w:r>
        <w:rPr>
          <w:i/>
        </w:rPr>
        <w:t xml:space="preserve">Ascyltus. Note di onomastica petroniana, </w:t>
      </w:r>
      <w:r>
        <w:t xml:space="preserve">Latomus, Bruxelles; </w:t>
      </w:r>
    </w:p>
    <w:p w:rsidR="008D3B12" w:rsidRDefault="008D3B12">
      <w:pPr>
        <w:ind w:left="1416" w:hanging="696"/>
        <w:jc w:val="both"/>
      </w:pPr>
      <w:r>
        <w:t xml:space="preserve">ROMAGNO, D. (1979), “Azionalità e transitività: il caso dei preverbi latini”, in </w:t>
      </w:r>
      <w:r>
        <w:rPr>
          <w:smallCaps/>
        </w:rPr>
        <w:t>Dowty</w:t>
      </w:r>
      <w:r>
        <w:t xml:space="preserve">, D. R., </w:t>
      </w:r>
      <w:r>
        <w:rPr>
          <w:i/>
        </w:rPr>
        <w:t>Word meaning and Montague grammar: the semantics of verbs and times in generative semantics and in Montague’s P.T.Q.</w:t>
      </w:r>
      <w:r>
        <w:t xml:space="preserve">, Reidel, Dordrecht, Boston, London: 156-170; </w:t>
      </w:r>
    </w:p>
    <w:p w:rsidR="008D3B12" w:rsidRDefault="008D3B12">
      <w:pPr>
        <w:ind w:left="1416" w:hanging="696"/>
        <w:jc w:val="both"/>
      </w:pPr>
      <w:r>
        <w:rPr>
          <w:lang w:val="de-DE"/>
        </w:rPr>
        <w:t xml:space="preserve">SOLIN, H. (1990), </w:t>
      </w:r>
      <w:r>
        <w:rPr>
          <w:i/>
          <w:lang w:val="de-DE"/>
        </w:rPr>
        <w:t xml:space="preserve">Namenpaare. </w:t>
      </w:r>
      <w:r>
        <w:rPr>
          <w:i/>
        </w:rPr>
        <w:t xml:space="preserve">Eine Studie zur römischen Namengebung, </w:t>
      </w:r>
      <w:r>
        <w:t xml:space="preserve">Societas Scientiarum Fennica, Helsinki; </w:t>
      </w:r>
    </w:p>
    <w:p w:rsidR="008D3B12" w:rsidRDefault="008D3B12">
      <w:pPr>
        <w:ind w:left="1416" w:hanging="696"/>
        <w:jc w:val="both"/>
        <w:rPr>
          <w:lang w:val="de-DE"/>
        </w:rPr>
      </w:pPr>
      <w:r>
        <w:rPr>
          <w:lang w:val="de-DE"/>
        </w:rPr>
        <w:t>SOMMER, F. (1948</w:t>
      </w:r>
      <w:r>
        <w:rPr>
          <w:vertAlign w:val="superscript"/>
          <w:lang w:val="de-DE"/>
        </w:rPr>
        <w:t>3</w:t>
      </w:r>
      <w:r>
        <w:rPr>
          <w:lang w:val="de-DE"/>
        </w:rPr>
        <w:t xml:space="preserve">), </w:t>
      </w:r>
      <w:r>
        <w:rPr>
          <w:i/>
          <w:lang w:val="de-DE"/>
        </w:rPr>
        <w:t xml:space="preserve">Handbuch der lateinischen Laut- und Formenlehre: eine Einführung in das sprachwissenschaftliche Studium des Lateins, </w:t>
      </w:r>
      <w:r>
        <w:rPr>
          <w:lang w:val="de-DE"/>
        </w:rPr>
        <w:t xml:space="preserve">Carl Winter, Heidelberg; </w:t>
      </w:r>
    </w:p>
    <w:p w:rsidR="008D3B12" w:rsidRDefault="008D3B12">
      <w:pPr>
        <w:ind w:left="1416" w:hanging="696"/>
        <w:jc w:val="both"/>
      </w:pPr>
      <w:r>
        <w:t xml:space="preserve">STAIN, J. P. (1971), “Compound word coinages in the plays of Plautus”, </w:t>
      </w:r>
      <w:r>
        <w:rPr>
          <w:i/>
        </w:rPr>
        <w:t xml:space="preserve">Latomus, </w:t>
      </w:r>
      <w:r>
        <w:t xml:space="preserve">30: 598-606; </w:t>
      </w:r>
    </w:p>
    <w:p w:rsidR="008D3B12" w:rsidRDefault="008D3B12">
      <w:pPr>
        <w:ind w:left="1416" w:hanging="696"/>
        <w:jc w:val="both"/>
      </w:pPr>
      <w:r>
        <w:t xml:space="preserve">SZEMERÉNYI, O. (1985), </w:t>
      </w:r>
      <w:r>
        <w:rPr>
          <w:i/>
        </w:rPr>
        <w:t xml:space="preserve">Introduzione alla linguistica indeuropea, </w:t>
      </w:r>
      <w:r>
        <w:t xml:space="preserve">ed. it. a cura di </w:t>
      </w:r>
      <w:r>
        <w:rPr>
          <w:smallCaps/>
        </w:rPr>
        <w:t xml:space="preserve">G. Boccali, V. Brugnatelli, M. Negri, </w:t>
      </w:r>
      <w:r>
        <w:t xml:space="preserve">Unicopli, Milano; </w:t>
      </w:r>
    </w:p>
    <w:p w:rsidR="008D3B12" w:rsidRDefault="008D3B12">
      <w:pPr>
        <w:ind w:left="1416" w:hanging="696"/>
        <w:jc w:val="both"/>
      </w:pPr>
      <w:r>
        <w:t xml:space="preserve">TRAINA, A., PASQUALINI, L. (1985), </w:t>
      </w:r>
      <w:r>
        <w:rPr>
          <w:i/>
        </w:rPr>
        <w:t xml:space="preserve">Morfologia latina, </w:t>
      </w:r>
      <w:r>
        <w:t xml:space="preserve">Cappelli, Bologna; </w:t>
      </w:r>
    </w:p>
    <w:p w:rsidR="008D3B12" w:rsidRDefault="008D3B12">
      <w:pPr>
        <w:ind w:left="1416" w:hanging="696"/>
        <w:jc w:val="both"/>
      </w:pPr>
      <w:r>
        <w:t>ULLMANN, S. (1970</w:t>
      </w:r>
      <w:r>
        <w:rPr>
          <w:vertAlign w:val="superscript"/>
        </w:rPr>
        <w:t>3</w:t>
      </w:r>
      <w:r>
        <w:t xml:space="preserve">), </w:t>
      </w:r>
      <w:r>
        <w:rPr>
          <w:i/>
        </w:rPr>
        <w:t>La semantica. Introduzione alla scienza del significato</w:t>
      </w:r>
      <w:r>
        <w:t xml:space="preserve">, ed. it. a. c. di L. </w:t>
      </w:r>
      <w:r>
        <w:rPr>
          <w:smallCaps/>
        </w:rPr>
        <w:t>Rosiello</w:t>
      </w:r>
      <w:r>
        <w:t xml:space="preserve">, Il Mulino, Bologna; </w:t>
      </w:r>
    </w:p>
    <w:p w:rsidR="008D3B12" w:rsidRDefault="008D3B12">
      <w:pPr>
        <w:ind w:left="1416" w:hanging="696"/>
        <w:jc w:val="both"/>
      </w:pPr>
      <w:r>
        <w:t xml:space="preserve">VILLAR, F. (1997), </w:t>
      </w:r>
      <w:r>
        <w:rPr>
          <w:i/>
        </w:rPr>
        <w:t xml:space="preserve">Gli indoeuropei e le origini dell’Europa, </w:t>
      </w:r>
      <w:r>
        <w:t xml:space="preserve">trad. it. di </w:t>
      </w:r>
      <w:r>
        <w:rPr>
          <w:smallCaps/>
        </w:rPr>
        <w:t xml:space="preserve">D. Siviero, </w:t>
      </w:r>
      <w:r>
        <w:t xml:space="preserve">Il Mulino, Bologna; </w:t>
      </w:r>
    </w:p>
    <w:p w:rsidR="008D3B12" w:rsidRDefault="008D3B12">
      <w:pPr>
        <w:ind w:left="1416" w:hanging="696"/>
        <w:jc w:val="both"/>
      </w:pPr>
      <w:r>
        <w:t xml:space="preserve">VINEIS, E. (1993), </w:t>
      </w:r>
      <w:r>
        <w:rPr>
          <w:i/>
        </w:rPr>
        <w:t>Il latino</w:t>
      </w:r>
      <w:r>
        <w:t xml:space="preserve">, in A. </w:t>
      </w:r>
      <w:r>
        <w:rPr>
          <w:smallCaps/>
        </w:rPr>
        <w:t>Giacalone</w:t>
      </w:r>
      <w:r>
        <w:t xml:space="preserve">, P. </w:t>
      </w:r>
      <w:r>
        <w:rPr>
          <w:smallCaps/>
        </w:rPr>
        <w:t xml:space="preserve">Ramat </w:t>
      </w:r>
      <w:r>
        <w:t xml:space="preserve">(a c. di), </w:t>
      </w:r>
      <w:r>
        <w:rPr>
          <w:i/>
        </w:rPr>
        <w:t xml:space="preserve">Le lingue indoeuropee, </w:t>
      </w:r>
      <w:r>
        <w:t xml:space="preserve">Il Mulino, Bologna; </w:t>
      </w:r>
    </w:p>
    <w:p w:rsidR="008D3B12" w:rsidRDefault="008D3B12">
      <w:pPr>
        <w:ind w:left="1416" w:hanging="696"/>
        <w:jc w:val="both"/>
      </w:pPr>
      <w:r>
        <w:t xml:space="preserve">ZUCCHELLI, B. (1969), </w:t>
      </w:r>
      <w:r>
        <w:rPr>
          <w:i/>
        </w:rPr>
        <w:t xml:space="preserve">Studi sulle forme latine in –lo non diminutive e sui loro rapporti con i diminutivi, </w:t>
      </w:r>
      <w:r>
        <w:t>Università degli studi di Parma. Istituto di lingua e letteratura latina, Parma.</w:t>
      </w:r>
    </w:p>
    <w:sectPr w:rsidR="008D3B12" w:rsidSect="008D3B12">
      <w:footerReference w:type="even" r:id="rId7"/>
      <w:footerReference w:type="default" r:id="rId8"/>
      <w:pgSz w:w="11906" w:h="16838"/>
      <w:pgMar w:top="1418" w:right="122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B12" w:rsidRDefault="008D3B12">
      <w:r>
        <w:separator/>
      </w:r>
    </w:p>
  </w:endnote>
  <w:endnote w:type="continuationSeparator" w:id="0">
    <w:p w:rsidR="008D3B12" w:rsidRDefault="008D3B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B12" w:rsidRDefault="008D3B1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D3B12" w:rsidRDefault="008D3B12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B12" w:rsidRDefault="008D3B1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8D3B12" w:rsidRDefault="008D3B12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B12" w:rsidRDefault="008D3B12">
      <w:r>
        <w:separator/>
      </w:r>
    </w:p>
  </w:footnote>
  <w:footnote w:type="continuationSeparator" w:id="0">
    <w:p w:rsidR="008D3B12" w:rsidRDefault="008D3B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5853"/>
    <w:multiLevelType w:val="hybridMultilevel"/>
    <w:tmpl w:val="4704F70A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5AF075F"/>
    <w:multiLevelType w:val="hybridMultilevel"/>
    <w:tmpl w:val="D988D9E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E1B2CA2"/>
    <w:multiLevelType w:val="hybridMultilevel"/>
    <w:tmpl w:val="ED9AC8E0"/>
    <w:lvl w:ilvl="0" w:tplc="2452BF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AA47ED1"/>
    <w:multiLevelType w:val="hybridMultilevel"/>
    <w:tmpl w:val="CDCA517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3062324"/>
    <w:multiLevelType w:val="hybridMultilevel"/>
    <w:tmpl w:val="96B08C9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C2D4AE0"/>
    <w:multiLevelType w:val="hybridMultilevel"/>
    <w:tmpl w:val="33549996"/>
    <w:lvl w:ilvl="0" w:tplc="00DC64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35528BE"/>
    <w:multiLevelType w:val="hybridMultilevel"/>
    <w:tmpl w:val="6B2C195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71B0148"/>
    <w:multiLevelType w:val="hybridMultilevel"/>
    <w:tmpl w:val="8AEE425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7BF75DA"/>
    <w:multiLevelType w:val="hybridMultilevel"/>
    <w:tmpl w:val="F196900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CA02F7D"/>
    <w:multiLevelType w:val="hybridMultilevel"/>
    <w:tmpl w:val="139801AA"/>
    <w:lvl w:ilvl="0" w:tplc="0410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0">
    <w:nsid w:val="63FA3779"/>
    <w:multiLevelType w:val="hybridMultilevel"/>
    <w:tmpl w:val="BB7AAA1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3F964BF"/>
    <w:multiLevelType w:val="hybridMultilevel"/>
    <w:tmpl w:val="6B701316"/>
    <w:lvl w:ilvl="0" w:tplc="0410000F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abstractNum w:abstractNumId="12">
    <w:nsid w:val="7A4F7021"/>
    <w:multiLevelType w:val="hybridMultilevel"/>
    <w:tmpl w:val="005E8A5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F7160B9"/>
    <w:multiLevelType w:val="hybridMultilevel"/>
    <w:tmpl w:val="A724A06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2"/>
  </w:num>
  <w:num w:numId="4">
    <w:abstractNumId w:val="5"/>
  </w:num>
  <w:num w:numId="5">
    <w:abstractNumId w:val="3"/>
  </w:num>
  <w:num w:numId="6">
    <w:abstractNumId w:val="11"/>
  </w:num>
  <w:num w:numId="7">
    <w:abstractNumId w:val="1"/>
  </w:num>
  <w:num w:numId="8">
    <w:abstractNumId w:val="4"/>
  </w:num>
  <w:num w:numId="9">
    <w:abstractNumId w:val="8"/>
  </w:num>
  <w:num w:numId="10">
    <w:abstractNumId w:val="7"/>
  </w:num>
  <w:num w:numId="11">
    <w:abstractNumId w:val="6"/>
  </w:num>
  <w:num w:numId="12">
    <w:abstractNumId w:val="12"/>
  </w:num>
  <w:num w:numId="13">
    <w:abstractNumId w:val="10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283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3B12"/>
    <w:rsid w:val="008D3B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it-IT" w:eastAsia="it-IT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ind w:left="-240" w:right="-54"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3B12"/>
    <w:rPr>
      <w:rFonts w:asciiTheme="majorHAnsi" w:eastAsiaTheme="majorEastAsia" w:hAnsiTheme="majorHAnsi" w:cstheme="majorBidi"/>
      <w:b/>
      <w:bCs/>
      <w:kern w:val="32"/>
      <w:sz w:val="32"/>
      <w:szCs w:val="32"/>
      <w:lang w:val="it-IT" w:eastAsia="it-IT"/>
    </w:rPr>
  </w:style>
  <w:style w:type="paragraph" w:styleId="FootnoteText">
    <w:name w:val="footnote text"/>
    <w:basedOn w:val="Normal"/>
    <w:link w:val="FootnoteTextChar"/>
    <w:uiPriority w:val="99"/>
    <w:semiHidden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3B12"/>
    <w:rPr>
      <w:lang w:val="it-IT" w:eastAsia="it-IT"/>
    </w:rPr>
  </w:style>
  <w:style w:type="character" w:styleId="FootnoteReference">
    <w:name w:val="footnote reference"/>
    <w:basedOn w:val="DefaultParagraphFont"/>
    <w:uiPriority w:val="99"/>
    <w:semiHidden/>
    <w:rPr>
      <w:rFonts w:cs="Times New Roman"/>
      <w:vertAlign w:val="superscript"/>
    </w:rPr>
  </w:style>
  <w:style w:type="paragraph" w:styleId="Footer">
    <w:name w:val="footer"/>
    <w:basedOn w:val="Normal"/>
    <w:link w:val="FooterChar"/>
    <w:uiPriority w:val="99"/>
    <w:semiHidden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D3B12"/>
    <w:rPr>
      <w:sz w:val="24"/>
      <w:szCs w:val="24"/>
      <w:lang w:val="it-IT" w:eastAsia="it-IT"/>
    </w:rPr>
  </w:style>
  <w:style w:type="character" w:styleId="PageNumber">
    <w:name w:val="page number"/>
    <w:basedOn w:val="DefaultParagraphFont"/>
    <w:uiPriority w:val="99"/>
    <w:semiHidden/>
    <w:rPr>
      <w:rFonts w:cs="Times New Roman"/>
    </w:rPr>
  </w:style>
  <w:style w:type="paragraph" w:styleId="Caption">
    <w:name w:val="caption"/>
    <w:basedOn w:val="Normal"/>
    <w:next w:val="Normal"/>
    <w:uiPriority w:val="35"/>
    <w:qFormat/>
    <w:rPr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pPr>
      <w:spacing w:line="360" w:lineRule="auto"/>
      <w:jc w:val="center"/>
    </w:pPr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D3B12"/>
    <w:rPr>
      <w:sz w:val="24"/>
      <w:szCs w:val="24"/>
      <w:lang w:val="it-IT"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1519</Words>
  <Characters>8663</Characters>
  <Application>Microsoft Office Outlook</Application>
  <DocSecurity>0</DocSecurity>
  <Lines>0</Lines>
  <Paragraphs>0</Paragraphs>
  <ScaleCrop>false</ScaleCrop>
  <Company>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Tesi di laurea in GLOTTOLOGIA (prof</dc:title>
  <dc:subject/>
  <dc:creator> Sara</dc:creator>
  <cp:keywords/>
  <dc:description/>
  <cp:lastModifiedBy>Prof. Dr. Cotticelli Kurras</cp:lastModifiedBy>
  <cp:revision>5</cp:revision>
  <dcterms:created xsi:type="dcterms:W3CDTF">2009-02-27T10:34:00Z</dcterms:created>
  <dcterms:modified xsi:type="dcterms:W3CDTF">2009-02-27T10:53:00Z</dcterms:modified>
</cp:coreProperties>
</file>