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BC4F" w14:textId="77777777" w:rsidR="00192EDC" w:rsidRPr="007B7BD0" w:rsidRDefault="00192EDC" w:rsidP="0019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02124"/>
          <w:sz w:val="24"/>
          <w:szCs w:val="42"/>
          <w:lang w:val="en-US" w:eastAsia="it-IT"/>
        </w:rPr>
      </w:pPr>
      <w:r w:rsidRPr="007B7BD0">
        <w:rPr>
          <w:rFonts w:ascii="Calibri" w:eastAsia="Times New Roman" w:hAnsi="Calibri" w:cs="Courier New"/>
          <w:b/>
          <w:bCs/>
          <w:color w:val="202124"/>
          <w:sz w:val="24"/>
          <w:szCs w:val="42"/>
          <w:lang w:val="en-US" w:eastAsia="it-IT"/>
        </w:rPr>
        <w:t>Corrado Viola</w:t>
      </w:r>
      <w:r w:rsidRPr="007B7BD0">
        <w:rPr>
          <w:rFonts w:ascii="Calibri" w:eastAsia="Times New Roman" w:hAnsi="Calibri" w:cs="Courier New"/>
          <w:color w:val="202124"/>
          <w:sz w:val="24"/>
          <w:szCs w:val="42"/>
          <w:lang w:val="en-US" w:eastAsia="it-IT"/>
        </w:rPr>
        <w:t xml:space="preserve"> (born in Biella, 1964) is </w:t>
      </w:r>
      <w:r>
        <w:rPr>
          <w:rFonts w:ascii="Calibri" w:eastAsia="Times New Roman" w:hAnsi="Calibri" w:cs="Courier New"/>
          <w:color w:val="202124"/>
          <w:sz w:val="24"/>
          <w:szCs w:val="42"/>
          <w:lang w:val="en-US" w:eastAsia="it-IT"/>
        </w:rPr>
        <w:t xml:space="preserve">Full </w:t>
      </w:r>
      <w:r w:rsidRPr="007B7BD0">
        <w:rPr>
          <w:rFonts w:ascii="Calibri" w:eastAsia="Times New Roman" w:hAnsi="Calibri" w:cs="Courier New"/>
          <w:color w:val="202124"/>
          <w:sz w:val="24"/>
          <w:szCs w:val="42"/>
          <w:lang w:val="en-US" w:eastAsia="it-IT"/>
        </w:rPr>
        <w:t>Professor of Italian Literature at the University of Verona, where he teaches (or has taught) Italian Literature, Teaching of Literature, Genres and History of Italian Literature, and Italian Language. His research spans from the seventeenth to the twentieth century, with a particular focus on the eighteenth century. He has published volumes (scholarly editions and monographs) on L.A. Muratori, the Orsi</w:t>
      </w:r>
      <w:r>
        <w:rPr>
          <w:rFonts w:ascii="Calibri" w:eastAsia="Times New Roman" w:hAnsi="Calibri" w:cs="Courier New"/>
          <w:color w:val="202124"/>
          <w:sz w:val="24"/>
          <w:szCs w:val="42"/>
          <w:lang w:val="en-US" w:eastAsia="it-IT"/>
        </w:rPr>
        <w:t>-</w:t>
      </w:r>
      <w:r w:rsidRPr="007B7BD0">
        <w:rPr>
          <w:rFonts w:ascii="Calibri" w:eastAsia="Times New Roman" w:hAnsi="Calibri" w:cs="Courier New"/>
          <w:color w:val="202124"/>
          <w:sz w:val="24"/>
          <w:szCs w:val="42"/>
          <w:lang w:val="en-US" w:eastAsia="it-IT"/>
        </w:rPr>
        <w:t>Bouhours controversy, epistolography, lexicography, Arcadian canons, Giuseppe Parini, Antonio Magliabechi, and Eugenio Montale, as well as numerous essays on authors from the seventeenth to the twentieth century (including Zeno, Maffei, Metastasio, Alfieri, Pindemonte, Foscolo, Manzoni, Betteloni, Giacosa, Salgari, Gadda, Pasolini, Mancinelli, among others).</w:t>
      </w:r>
    </w:p>
    <w:p w14:paraId="27E6E6D0" w14:textId="77777777" w:rsidR="00192EDC" w:rsidRPr="007B7BD0" w:rsidRDefault="00192EDC" w:rsidP="0019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02124"/>
          <w:sz w:val="24"/>
          <w:szCs w:val="42"/>
          <w:lang w:val="en-US" w:eastAsia="it-IT"/>
        </w:rPr>
      </w:pPr>
      <w:r w:rsidRPr="007B7BD0">
        <w:rPr>
          <w:rFonts w:ascii="Calibri" w:eastAsia="Times New Roman" w:hAnsi="Calibri" w:cs="Courier New"/>
          <w:color w:val="202124"/>
          <w:sz w:val="24"/>
          <w:szCs w:val="42"/>
          <w:lang w:val="en-US" w:eastAsia="it-IT"/>
        </w:rPr>
        <w:t xml:space="preserve">He founded and currently serves as Director of the </w:t>
      </w:r>
      <w:r w:rsidRPr="007B7BD0">
        <w:rPr>
          <w:rFonts w:ascii="Calibri" w:eastAsia="Times New Roman" w:hAnsi="Calibri" w:cs="Courier New"/>
          <w:i/>
          <w:iCs/>
          <w:color w:val="202124"/>
          <w:sz w:val="24"/>
          <w:szCs w:val="42"/>
          <w:lang w:val="en-US" w:eastAsia="it-IT"/>
        </w:rPr>
        <w:t>Centro di Ricerca sugli Epistolari del Settecento</w:t>
      </w:r>
      <w:r w:rsidRPr="007B7BD0">
        <w:rPr>
          <w:rFonts w:ascii="Calibri" w:eastAsia="Times New Roman" w:hAnsi="Calibri" w:cs="Courier New"/>
          <w:color w:val="202124"/>
          <w:sz w:val="24"/>
          <w:szCs w:val="42"/>
          <w:lang w:val="en-US" w:eastAsia="it-IT"/>
        </w:rPr>
        <w:t xml:space="preserve"> (C.R.E.S., Research Centre on Eighteenth-Century Correspondence</w:t>
      </w:r>
      <w:proofErr w:type="gramStart"/>
      <w:r w:rsidRPr="007B7BD0">
        <w:rPr>
          <w:rFonts w:ascii="Calibri" w:eastAsia="Times New Roman" w:hAnsi="Calibri" w:cs="Courier New"/>
          <w:color w:val="202124"/>
          <w:sz w:val="24"/>
          <w:szCs w:val="42"/>
          <w:lang w:val="en-US" w:eastAsia="it-IT"/>
        </w:rPr>
        <w:t>), and</w:t>
      </w:r>
      <w:proofErr w:type="gramEnd"/>
      <w:r w:rsidRPr="007B7BD0">
        <w:rPr>
          <w:rFonts w:ascii="Calibri" w:eastAsia="Times New Roman" w:hAnsi="Calibri" w:cs="Courier New"/>
          <w:color w:val="202124"/>
          <w:sz w:val="24"/>
          <w:szCs w:val="42"/>
          <w:lang w:val="en-US" w:eastAsia="it-IT"/>
        </w:rPr>
        <w:t xml:space="preserve"> directs its publication series. He is the founder and co-editor of the journal </w:t>
      </w:r>
      <w:r w:rsidRPr="007B7BD0">
        <w:rPr>
          <w:rFonts w:ascii="Calibri" w:eastAsia="Times New Roman" w:hAnsi="Calibri" w:cs="Courier New"/>
          <w:i/>
          <w:iCs/>
          <w:color w:val="202124"/>
          <w:sz w:val="24"/>
          <w:szCs w:val="42"/>
          <w:lang w:val="en-US" w:eastAsia="it-IT"/>
        </w:rPr>
        <w:t>Epistolographia. An International Journal</w:t>
      </w:r>
      <w:r w:rsidRPr="007B7BD0">
        <w:rPr>
          <w:rFonts w:ascii="Calibri" w:eastAsia="Times New Roman" w:hAnsi="Calibri" w:cs="Courier New"/>
          <w:color w:val="202124"/>
          <w:sz w:val="24"/>
          <w:szCs w:val="42"/>
          <w:lang w:val="en-US" w:eastAsia="it-IT"/>
        </w:rPr>
        <w:t xml:space="preserve">. He serves as Vice-President of the </w:t>
      </w:r>
      <w:r w:rsidRPr="007B7BD0">
        <w:rPr>
          <w:rFonts w:ascii="Calibri" w:eastAsia="Times New Roman" w:hAnsi="Calibri" w:cs="Courier New"/>
          <w:i/>
          <w:iCs/>
          <w:color w:val="202124"/>
          <w:sz w:val="24"/>
          <w:szCs w:val="42"/>
          <w:lang w:val="en-US" w:eastAsia="it-IT"/>
        </w:rPr>
        <w:t>Società Italiana di Studi Storici sul XVIII secolo</w:t>
      </w:r>
      <w:r w:rsidRPr="007B7BD0">
        <w:rPr>
          <w:rFonts w:ascii="Calibri" w:eastAsia="Times New Roman" w:hAnsi="Calibri" w:cs="Courier New"/>
          <w:color w:val="202124"/>
          <w:sz w:val="24"/>
          <w:szCs w:val="42"/>
          <w:lang w:val="en-US" w:eastAsia="it-IT"/>
        </w:rPr>
        <w:t xml:space="preserve"> (SISSD, Italian Society for Eighteenth-Century Historical Studies) and of the </w:t>
      </w:r>
      <w:r w:rsidRPr="007B7BD0">
        <w:rPr>
          <w:rFonts w:ascii="Calibri" w:eastAsia="Times New Roman" w:hAnsi="Calibri" w:cs="Courier New"/>
          <w:i/>
          <w:iCs/>
          <w:color w:val="202124"/>
          <w:sz w:val="24"/>
          <w:szCs w:val="42"/>
          <w:lang w:val="en-US" w:eastAsia="it-IT"/>
        </w:rPr>
        <w:t>Centro di Ricerca Interdipartimentale sull’Europa romantica</w:t>
      </w:r>
      <w:r w:rsidRPr="007B7BD0">
        <w:rPr>
          <w:rFonts w:ascii="Calibri" w:eastAsia="Times New Roman" w:hAnsi="Calibri" w:cs="Courier New"/>
          <w:color w:val="202124"/>
          <w:sz w:val="24"/>
          <w:szCs w:val="42"/>
          <w:lang w:val="en-US" w:eastAsia="it-IT"/>
        </w:rPr>
        <w:t xml:space="preserve"> (C.R.I.E.R., Interdepartmental Research Centre on Romantic Europe).</w:t>
      </w:r>
    </w:p>
    <w:p w14:paraId="6031714F" w14:textId="77777777" w:rsidR="00192EDC" w:rsidRPr="007B7BD0" w:rsidRDefault="00192EDC" w:rsidP="00192E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ourier New"/>
          <w:color w:val="202124"/>
          <w:sz w:val="24"/>
          <w:szCs w:val="42"/>
          <w:lang w:eastAsia="it-IT"/>
        </w:rPr>
      </w:pPr>
      <w:r w:rsidRPr="007B7BD0">
        <w:rPr>
          <w:rFonts w:ascii="Calibri" w:eastAsia="Times New Roman" w:hAnsi="Calibri" w:cs="Courier New"/>
          <w:color w:val="202124"/>
          <w:sz w:val="24"/>
          <w:szCs w:val="42"/>
          <w:lang w:eastAsia="it-IT"/>
        </w:rPr>
        <w:t>He is a full member of the Accademia dell’Arcadia (Rome), the Centro di Studi Muratoriani (Modena), the Accademia di Agricoltura Scienze e Lettere (Verona), and the Associazione degli Italianisti (A</w:t>
      </w:r>
      <w:r>
        <w:rPr>
          <w:rFonts w:ascii="Calibri" w:eastAsia="Times New Roman" w:hAnsi="Calibri" w:cs="Courier New"/>
          <w:color w:val="202124"/>
          <w:sz w:val="24"/>
          <w:szCs w:val="42"/>
          <w:lang w:eastAsia="it-IT"/>
        </w:rPr>
        <w:t>D</w:t>
      </w:r>
      <w:r w:rsidRPr="007B7BD0">
        <w:rPr>
          <w:rFonts w:ascii="Calibri" w:eastAsia="Times New Roman" w:hAnsi="Calibri" w:cs="Courier New"/>
          <w:color w:val="202124"/>
          <w:sz w:val="24"/>
          <w:szCs w:val="42"/>
          <w:lang w:eastAsia="it-IT"/>
        </w:rPr>
        <w:t>I), and a corresponding member of the</w:t>
      </w:r>
      <w:r w:rsidRPr="00C37561">
        <w:rPr>
          <w:rFonts w:ascii="Calibri" w:eastAsia="Times New Roman" w:hAnsi="Calibri" w:cs="Courier New"/>
          <w:color w:val="202124"/>
          <w:sz w:val="24"/>
          <w:szCs w:val="42"/>
          <w:lang w:eastAsia="it-IT"/>
        </w:rPr>
        <w:t xml:space="preserve"> </w:t>
      </w:r>
      <w:r>
        <w:rPr>
          <w:rFonts w:ascii="Calibri" w:eastAsia="Times New Roman" w:hAnsi="Calibri" w:cs="Courier New"/>
          <w:color w:val="202124"/>
          <w:sz w:val="24"/>
          <w:szCs w:val="42"/>
          <w:lang w:eastAsia="it-IT"/>
        </w:rPr>
        <w:t>Istituto Veneto di Scienze Lettere ed Arti, and the</w:t>
      </w:r>
      <w:r w:rsidRPr="007B7BD0">
        <w:rPr>
          <w:rFonts w:ascii="Calibri" w:eastAsia="Times New Roman" w:hAnsi="Calibri" w:cs="Courier New"/>
          <w:color w:val="202124"/>
          <w:sz w:val="24"/>
          <w:szCs w:val="42"/>
          <w:lang w:eastAsia="it-IT"/>
        </w:rPr>
        <w:t xml:space="preserve"> Accademia degli Agiati (Rovereto). He serves on the editorial or advisory boards of the journals </w:t>
      </w:r>
      <w:r w:rsidRPr="007B7BD0">
        <w:rPr>
          <w:rFonts w:ascii="Calibri" w:eastAsia="Times New Roman" w:hAnsi="Calibri" w:cs="Courier New"/>
          <w:i/>
          <w:iCs/>
          <w:color w:val="202124"/>
          <w:sz w:val="24"/>
          <w:szCs w:val="42"/>
          <w:lang w:eastAsia="it-IT"/>
        </w:rPr>
        <w:t>Testo</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Symbolae antiquariae</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Rivista internazionale di ricerche dantesche</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Rivista di letteratura tardogotica e quattrocentesca</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Diciottesimo secolo</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Romanticismi</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Atti e memorie dell’Arcadia</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Studi di erudizione e di filologia italiane</w:t>
      </w:r>
      <w:r w:rsidRPr="007B7BD0">
        <w:rPr>
          <w:rFonts w:ascii="Calibri" w:eastAsia="Times New Roman" w:hAnsi="Calibri" w:cs="Courier New"/>
          <w:color w:val="202124"/>
          <w:sz w:val="24"/>
          <w:szCs w:val="42"/>
          <w:lang w:eastAsia="it-IT"/>
        </w:rPr>
        <w:t xml:space="preserve">, and </w:t>
      </w:r>
      <w:r w:rsidRPr="007B7BD0">
        <w:rPr>
          <w:rFonts w:ascii="Calibri" w:eastAsia="Times New Roman" w:hAnsi="Calibri" w:cs="Courier New"/>
          <w:i/>
          <w:iCs/>
          <w:color w:val="202124"/>
          <w:sz w:val="24"/>
          <w:szCs w:val="42"/>
          <w:lang w:eastAsia="it-IT"/>
        </w:rPr>
        <w:t>Ermeneutica letteraria</w:t>
      </w:r>
      <w:r w:rsidRPr="007B7BD0">
        <w:rPr>
          <w:rFonts w:ascii="Calibri" w:eastAsia="Times New Roman" w:hAnsi="Calibri" w:cs="Courier New"/>
          <w:color w:val="202124"/>
          <w:sz w:val="24"/>
          <w:szCs w:val="42"/>
          <w:lang w:eastAsia="it-IT"/>
        </w:rPr>
        <w:t xml:space="preserve">, as well as of the book series </w:t>
      </w:r>
      <w:r w:rsidRPr="007B7BD0">
        <w:rPr>
          <w:rFonts w:ascii="Calibri" w:eastAsia="Times New Roman" w:hAnsi="Calibri" w:cs="Courier New"/>
          <w:i/>
          <w:iCs/>
          <w:color w:val="202124"/>
          <w:sz w:val="24"/>
          <w:szCs w:val="42"/>
          <w:lang w:eastAsia="it-IT"/>
        </w:rPr>
        <w:t>Ottocento neoclassico e romantico</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Diciottesimo Secolo</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Biblioteca dell’Arcadia</w:t>
      </w:r>
      <w:r w:rsidRPr="007B7BD0">
        <w:rPr>
          <w:rFonts w:ascii="Calibri" w:eastAsia="Times New Roman" w:hAnsi="Calibri" w:cs="Courier New"/>
          <w:color w:val="202124"/>
          <w:sz w:val="24"/>
          <w:szCs w:val="42"/>
          <w:lang w:eastAsia="it-IT"/>
        </w:rPr>
        <w:t xml:space="preserve">, </w:t>
      </w:r>
      <w:r w:rsidRPr="007B7BD0">
        <w:rPr>
          <w:rFonts w:ascii="Calibri" w:eastAsia="Times New Roman" w:hAnsi="Calibri" w:cs="Courier New"/>
          <w:i/>
          <w:iCs/>
          <w:color w:val="202124"/>
          <w:sz w:val="24"/>
          <w:szCs w:val="42"/>
          <w:lang w:eastAsia="it-IT"/>
        </w:rPr>
        <w:t>Biblioteca del XVIII secolo</w:t>
      </w:r>
      <w:r w:rsidRPr="007B7BD0">
        <w:rPr>
          <w:rFonts w:ascii="Calibri" w:eastAsia="Times New Roman" w:hAnsi="Calibri" w:cs="Courier New"/>
          <w:color w:val="202124"/>
          <w:sz w:val="24"/>
          <w:szCs w:val="42"/>
          <w:lang w:eastAsia="it-IT"/>
        </w:rPr>
        <w:t xml:space="preserve">, and </w:t>
      </w:r>
      <w:r w:rsidRPr="007B7BD0">
        <w:rPr>
          <w:rFonts w:ascii="Calibri" w:eastAsia="Times New Roman" w:hAnsi="Calibri" w:cs="Courier New"/>
          <w:i/>
          <w:iCs/>
          <w:color w:val="202124"/>
          <w:sz w:val="24"/>
          <w:szCs w:val="42"/>
          <w:lang w:eastAsia="it-IT"/>
        </w:rPr>
        <w:t>Filologia e letteratura italiana</w:t>
      </w:r>
      <w:r w:rsidRPr="007B7BD0">
        <w:rPr>
          <w:rFonts w:ascii="Calibri" w:eastAsia="Times New Roman" w:hAnsi="Calibri" w:cs="Courier New"/>
          <w:color w:val="202124"/>
          <w:sz w:val="24"/>
          <w:szCs w:val="42"/>
          <w:lang w:eastAsia="it-IT"/>
        </w:rPr>
        <w:t>, among others.</w:t>
      </w:r>
    </w:p>
    <w:p w14:paraId="2AAFFAF2" w14:textId="77777777" w:rsidR="00521390" w:rsidRDefault="00521390"/>
    <w:sectPr w:rsidR="005213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26"/>
    <w:rsid w:val="00192EDC"/>
    <w:rsid w:val="003A3B26"/>
    <w:rsid w:val="00521390"/>
    <w:rsid w:val="007663D9"/>
    <w:rsid w:val="00966C2C"/>
    <w:rsid w:val="00A8034C"/>
    <w:rsid w:val="00CD7C48"/>
    <w:rsid w:val="00D20403"/>
    <w:rsid w:val="00F85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64BE"/>
  <w15:chartTrackingRefBased/>
  <w15:docId w15:val="{FAEDDC6F-7E47-45F1-9C41-04E0D805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2EDC"/>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3A3B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3A3B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3A3B2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3A3B2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3A3B2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3A3B2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3A3B2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3A3B2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3A3B2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3B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3B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3B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3B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3B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3B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3B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3B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3B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3B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3A3B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3B2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3A3B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3B26"/>
    <w:pPr>
      <w:spacing w:before="160" w:after="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3A3B26"/>
    <w:rPr>
      <w:i/>
      <w:iCs/>
      <w:color w:val="404040" w:themeColor="text1" w:themeTint="BF"/>
    </w:rPr>
  </w:style>
  <w:style w:type="paragraph" w:styleId="Paragrafoelenco">
    <w:name w:val="List Paragraph"/>
    <w:basedOn w:val="Normale"/>
    <w:uiPriority w:val="34"/>
    <w:qFormat/>
    <w:rsid w:val="003A3B26"/>
    <w:pPr>
      <w:spacing w:after="160"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3A3B26"/>
    <w:rPr>
      <w:i/>
      <w:iCs/>
      <w:color w:val="0F4761" w:themeColor="accent1" w:themeShade="BF"/>
    </w:rPr>
  </w:style>
  <w:style w:type="paragraph" w:styleId="Citazioneintensa">
    <w:name w:val="Intense Quote"/>
    <w:basedOn w:val="Normale"/>
    <w:next w:val="Normale"/>
    <w:link w:val="CitazioneintensaCarattere"/>
    <w:uiPriority w:val="30"/>
    <w:qFormat/>
    <w:rsid w:val="003A3B2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3A3B26"/>
    <w:rPr>
      <w:i/>
      <w:iCs/>
      <w:color w:val="0F4761" w:themeColor="accent1" w:themeShade="BF"/>
    </w:rPr>
  </w:style>
  <w:style w:type="character" w:styleId="Riferimentointenso">
    <w:name w:val="Intense Reference"/>
    <w:basedOn w:val="Carpredefinitoparagrafo"/>
    <w:uiPriority w:val="32"/>
    <w:qFormat/>
    <w:rsid w:val="003A3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1892</Characters>
  <Application>Microsoft Office Word</Application>
  <DocSecurity>0</DocSecurity>
  <Lines>34</Lines>
  <Paragraphs>10</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Viola</dc:creator>
  <cp:keywords/>
  <dc:description/>
  <cp:lastModifiedBy>Corrado Viola</cp:lastModifiedBy>
  <cp:revision>2</cp:revision>
  <dcterms:created xsi:type="dcterms:W3CDTF">2026-03-04T08:05:00Z</dcterms:created>
  <dcterms:modified xsi:type="dcterms:W3CDTF">2026-03-04T08:05:00Z</dcterms:modified>
</cp:coreProperties>
</file>