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stylesWithEffects0.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2B" w:rsidRDefault="00BD4B6A">
      <w:pPr>
        <w:spacing w:line="360" w:lineRule="auto"/>
        <w:jc w:val="both"/>
      </w:pPr>
      <w:bookmarkStart w:id="0" w:name="_GoBack"/>
      <w:bookmarkEnd w:id="0"/>
      <w:r>
        <w:t>Leonida Tedoldi (Université de Vérone)</w:t>
      </w:r>
    </w:p>
    <w:p w:rsidR="0046662B" w:rsidRDefault="00BD4B6A">
      <w:pPr>
        <w:spacing w:line="360" w:lineRule="auto"/>
        <w:jc w:val="both"/>
        <w:rPr>
          <w:i/>
        </w:rPr>
      </w:pPr>
      <w:r>
        <w:rPr>
          <w:i/>
        </w:rPr>
        <w:t>L’invention de la Justice Internationale. Les origines politico-culturelles des Tribunaux internationaux</w:t>
      </w:r>
    </w:p>
    <w:p w:rsidR="0046662B" w:rsidRDefault="0046662B">
      <w:pPr>
        <w:spacing w:line="360" w:lineRule="auto"/>
        <w:jc w:val="both"/>
      </w:pPr>
    </w:p>
    <w:p w:rsidR="0046662B" w:rsidRDefault="0046662B">
      <w:pPr>
        <w:spacing w:line="360" w:lineRule="auto"/>
        <w:jc w:val="both"/>
      </w:pPr>
    </w:p>
    <w:p w:rsidR="0046662B" w:rsidRDefault="00BD4B6A">
      <w:pPr>
        <w:spacing w:line="360" w:lineRule="auto"/>
        <w:jc w:val="both"/>
      </w:pPr>
      <w:r>
        <w:t xml:space="preserve">Qu'est-ce que la justice international? Comment pouvons-nous parler d’une idée et d’une « pratique » (comme </w:t>
      </w:r>
      <w:r>
        <w:t xml:space="preserve">les français aiment dire) de la justice, sans un code, un droit international? </w:t>
      </w:r>
      <w:r>
        <w:rPr>
          <w:rStyle w:val="Rimandonotaapidipagina1"/>
        </w:rPr>
        <w:footnoteReference w:id="1"/>
      </w:r>
    </w:p>
    <w:p w:rsidR="0046662B" w:rsidRDefault="00BD4B6A">
      <w:pPr>
        <w:spacing w:line="360" w:lineRule="auto"/>
        <w:jc w:val="both"/>
      </w:pPr>
      <w:r>
        <w:t>Le but de mon exposé c’est de mettre en relief l’essor, la gestation, qui soude deux vastes zones d'intérêt théorique, d’un côté une littérature politico-juridique qui élabora</w:t>
      </w:r>
      <w:r>
        <w:t xml:space="preserve"> l’arbitrage, comme « instrument » pour résoudre pacifiquement les différends entre les Etats et, de l’autre, une littérature qui proposera la construction théorique de l’institution judiciaire internationale. </w:t>
      </w:r>
    </w:p>
    <w:p w:rsidR="0046662B" w:rsidRDefault="00BD4B6A">
      <w:pPr>
        <w:spacing w:line="360" w:lineRule="auto"/>
        <w:jc w:val="both"/>
      </w:pPr>
      <w:r>
        <w:rPr>
          <w:rStyle w:val="Hps"/>
        </w:rPr>
        <w:t>Ici, je ne peux pas</w:t>
      </w:r>
      <w:r>
        <w:rPr>
          <w:rStyle w:val="Shorttext"/>
        </w:rPr>
        <w:t xml:space="preserve"> </w:t>
      </w:r>
      <w:r>
        <w:rPr>
          <w:rStyle w:val="Hps"/>
        </w:rPr>
        <w:t>aborder le début</w:t>
      </w:r>
      <w:r>
        <w:t xml:space="preserve"> de la th</w:t>
      </w:r>
      <w:r>
        <w:t>éorie et  le discours  de la « Paix perpétuel » kantienne et aussi de le débat de la moitié du XIX siècle, de Emeric Crucé, jusqu’au Saint-Pierre, Ange Goudar, Pierre-Conis de Saintard, Pierre-André Gargaz.</w:t>
      </w:r>
    </w:p>
    <w:p w:rsidR="0046662B" w:rsidRDefault="00BD4B6A">
      <w:pPr>
        <w:spacing w:line="360" w:lineRule="auto"/>
        <w:jc w:val="both"/>
      </w:pPr>
      <w:r>
        <w:t>Comme vous sauvez, je crois, dans la première moi</w:t>
      </w:r>
      <w:r>
        <w:t>tié du XIXe siècle, le «internationalisme libéral juridique», répandu dans des larges secteurs de la société, mûri la conviction politique, que les conflits seraient résolus ou réduits, grâce à l'introduction de l'instrument de l'arbitrage, de tradition ro</w:t>
      </w:r>
      <w:r>
        <w:t>maine, sur la scène internationale.</w:t>
      </w:r>
    </w:p>
    <w:p w:rsidR="0046662B" w:rsidRDefault="00BD4B6A">
      <w:pPr>
        <w:spacing w:line="360" w:lineRule="auto"/>
        <w:jc w:val="both"/>
      </w:pPr>
      <w:r>
        <w:t>Comme on le sait, ce sont intervenues dans ce débat, avec des sensibilités différentes, depuis les dernières décennies du dix-huitième siècle, deux personnalités importantes du monde intellectuel: le marquis de Condorcet</w:t>
      </w:r>
      <w:r>
        <w:t xml:space="preserve"> et Jeremy Bentham.</w:t>
      </w:r>
    </w:p>
    <w:p w:rsidR="0046662B" w:rsidRDefault="00BD4B6A">
      <w:pPr>
        <w:spacing w:line="360" w:lineRule="auto"/>
        <w:jc w:val="both"/>
      </w:pPr>
      <w:r>
        <w:lastRenderedPageBreak/>
        <w:t xml:space="preserve">Au-delà de </w:t>
      </w:r>
      <w:r>
        <w:rPr>
          <w:rFonts w:ascii="MS Mincho" w:eastAsia="MS Mincho" w:hAnsi="MS Mincho" w:cs="MS Mincho"/>
        </w:rPr>
        <w:t>​​</w:t>
      </w:r>
      <w:r>
        <w:t xml:space="preserve">l'analyse des aspects des relations interétatiques, Condorcet invoqua - dans son </w:t>
      </w:r>
      <w:r>
        <w:rPr>
          <w:i/>
        </w:rPr>
        <w:t>De la influence de la Révolution d'Amérique sur l'Europe</w:t>
      </w:r>
      <w:r>
        <w:t xml:space="preserve"> - la création d'un tribunal international pour juger, par rapport à un bien-définies </w:t>
      </w:r>
      <w:r>
        <w:t xml:space="preserve">raisons politiques et diplomatiques, les conflits interétatiques au nom de toutes les </w:t>
      </w:r>
    </w:p>
    <w:p w:rsidR="0046662B" w:rsidRDefault="00BD4B6A">
      <w:pPr>
        <w:spacing w:line="360" w:lineRule="auto"/>
        <w:jc w:val="both"/>
      </w:pPr>
      <w:r>
        <w:t>nations. Les Etats aurait eu, alors, le pouvoir de décider s'il y a lieu de faire avancer le jugement rendu par le tribunal ou d'agir contre le jugement par la force.</w:t>
      </w:r>
    </w:p>
    <w:p w:rsidR="0046662B" w:rsidRDefault="00BD4B6A">
      <w:pPr>
        <w:pStyle w:val="Titolo4"/>
        <w:spacing w:before="0" w:line="360" w:lineRule="auto"/>
        <w:jc w:val="both"/>
        <w:rPr>
          <w:b w:val="0"/>
          <w:i w:val="0"/>
          <w:color w:val="auto"/>
        </w:rPr>
      </w:pPr>
      <w:r>
        <w:rPr>
          <w:b w:val="0"/>
          <w:i w:val="0"/>
          <w:color w:val="auto"/>
        </w:rPr>
        <w:t>Je</w:t>
      </w:r>
      <w:r>
        <w:rPr>
          <w:b w:val="0"/>
          <w:i w:val="0"/>
          <w:color w:val="auto"/>
        </w:rPr>
        <w:t>remy Bentham, cependant, a suggéré dans son livre "</w:t>
      </w:r>
      <w:r>
        <w:rPr>
          <w:b w:val="0"/>
          <w:color w:val="auto"/>
        </w:rPr>
        <w:t xml:space="preserve">A Plan for an Universal and Perpetual Peace" </w:t>
      </w:r>
      <w:r>
        <w:rPr>
          <w:b w:val="0"/>
          <w:i w:val="0"/>
          <w:color w:val="auto"/>
        </w:rPr>
        <w:t>(1789), la création d'un tribunal international, sans pouvoirs coercitifs, en mesure de régler les différends entre Etats, dans le cadre du désarmement, qui aur</w:t>
      </w:r>
      <w:r>
        <w:rPr>
          <w:b w:val="0"/>
          <w:i w:val="0"/>
          <w:color w:val="auto"/>
        </w:rPr>
        <w:t>ait inévitablement suivi le démantèlement des empires coloniaux.</w:t>
      </w:r>
    </w:p>
    <w:p w:rsidR="0046662B" w:rsidRDefault="00BD4B6A">
      <w:pPr>
        <w:spacing w:line="360" w:lineRule="auto"/>
        <w:jc w:val="both"/>
      </w:pPr>
      <w:r>
        <w:t>Ainsi, le débat européen, qui faisait au XIXe siècle une référence constante aux promoteurs de l'arbitrage international, a construit une théorie politique qui a eu comme point focal le proce</w:t>
      </w:r>
      <w:r>
        <w:t xml:space="preserve">ssus de création d'un Congrès européen des États, ou d'une fédération d'Etats (par exemple, Henri de Saint-Simon), comme fondement pour la création d'un tribunal international permanent composé de juges nommés par les Etats et par "l'opinion publique". </w:t>
      </w:r>
    </w:p>
    <w:p w:rsidR="0046662B" w:rsidRDefault="00BD4B6A">
      <w:pPr>
        <w:spacing w:line="360" w:lineRule="auto"/>
        <w:jc w:val="both"/>
      </w:pPr>
      <w:r>
        <w:t>On</w:t>
      </w:r>
      <w:r>
        <w:t xml:space="preserve"> peut dire aussi que le développement de ces essais théoriques a contribué à l'un des plus important soutien culturels aux institutions judiciaires et à </w:t>
      </w:r>
      <w:r>
        <w:rPr>
          <w:rFonts w:ascii="MS Mincho" w:eastAsia="MS Mincho" w:hAnsi="MS Mincho" w:cs="MS Mincho"/>
        </w:rPr>
        <w:t>​​</w:t>
      </w:r>
      <w:r>
        <w:t>la construction de la « juridiction » internationale. En outre, la «pensée fédéraliste» était la plus</w:t>
      </w:r>
      <w:r>
        <w:t xml:space="preserve"> fervente partisane de la création d'une </w:t>
      </w:r>
      <w:r>
        <w:rPr>
          <w:i/>
        </w:rPr>
        <w:t>Haute Cour Internationale</w:t>
      </w:r>
      <w:r>
        <w:rPr>
          <w:rStyle w:val="Rimandonotaapidipagina1"/>
        </w:rPr>
        <w:footnoteReference w:id="2"/>
      </w:r>
      <w:r>
        <w:t xml:space="preserve">. </w:t>
      </w:r>
    </w:p>
    <w:p w:rsidR="0046662B" w:rsidRDefault="00BD4B6A">
      <w:pPr>
        <w:spacing w:line="360" w:lineRule="auto"/>
        <w:jc w:val="both"/>
      </w:pPr>
      <w:r>
        <w:t>En substance, la comparaison politico-théorique (sur le développement des relations interétatiques) avait identifié, par la mise en place d'une future fédération des Etats européens et e</w:t>
      </w:r>
      <w:r>
        <w:t xml:space="preserve">n particulier par la formation d'un </w:t>
      </w:r>
      <w:r>
        <w:lastRenderedPageBreak/>
        <w:t>Parlement supranational, élu par les parlements de chaque pays, un parcours considéré comme essentiel à la résolution des différends entre les États et en mesure de garantir, dans le même temps, la poursuite de l'intérêt</w:t>
      </w:r>
      <w:r>
        <w:t xml:space="preserve"> général de la société européenne et le maintien de la Paix (Ils pensaient à un ordre international soutenu par des fortes institutions "libérales", promotrices de la Paix, qui rejetaient la diplomatie secrète, mais qui favorisaient la promotion du commerc</w:t>
      </w:r>
      <w:r>
        <w:t>e en tant que vecteur de Paix (et des timides incitations au désarmement).</w:t>
      </w:r>
    </w:p>
    <w:p w:rsidR="0046662B" w:rsidRDefault="00BD4B6A">
      <w:pPr>
        <w:spacing w:line="360" w:lineRule="auto"/>
        <w:jc w:val="both"/>
      </w:pPr>
      <w:r>
        <w:t>En substance, mûri l'idée que le progrès économique conduirait à la réduction des conflits et à la marginalisation des élites dirigeantes, animées par un esprit militari</w:t>
      </w:r>
    </w:p>
    <w:p w:rsidR="0046662B" w:rsidRDefault="00BD4B6A">
      <w:pPr>
        <w:spacing w:line="360" w:lineRule="auto"/>
        <w:jc w:val="both"/>
      </w:pPr>
      <w:r>
        <w:t xml:space="preserve">Puis, dans </w:t>
      </w:r>
      <w:r>
        <w:t>les premières décennies du XIXe siècle, le « mouvement pour la paix », en plein développement, n'avait pas de doutes: l'arbitrage international de la tradition romaine, était l'instrument par excellence qui pourrait réduire considérablement les conflits ar</w:t>
      </w:r>
      <w:r>
        <w:t>més entre Etats.</w:t>
      </w:r>
    </w:p>
    <w:p w:rsidR="0046662B" w:rsidRDefault="00BD4B6A">
      <w:pPr>
        <w:spacing w:line="360" w:lineRule="auto"/>
        <w:jc w:val="both"/>
      </w:pPr>
      <w:r>
        <w:t>Déjà dans les années trente du XIXe siècle, le débat</w:t>
      </w:r>
      <w:r>
        <w:rPr>
          <w:b/>
        </w:rPr>
        <w:t xml:space="preserve"> </w:t>
      </w:r>
      <w:r>
        <w:t>politico-théorique a renforcé la réflexion sur la mise en place d'une Cour internationale permanente.</w:t>
      </w:r>
    </w:p>
    <w:p w:rsidR="0046662B" w:rsidRDefault="00BD4B6A">
      <w:pPr>
        <w:spacing w:line="360" w:lineRule="auto"/>
        <w:jc w:val="both"/>
        <w:rPr>
          <w:rStyle w:val="Caratteredellanota"/>
        </w:rPr>
      </w:pPr>
      <w:r>
        <w:rPr>
          <w:rStyle w:val="Hps"/>
        </w:rPr>
        <w:t>En 1840</w:t>
      </w:r>
      <w:r>
        <w:t xml:space="preserve">, </w:t>
      </w:r>
      <w:r>
        <w:rPr>
          <w:rStyle w:val="Hps"/>
        </w:rPr>
        <w:t>William</w:t>
      </w:r>
      <w:r>
        <w:t xml:space="preserve"> </w:t>
      </w:r>
      <w:r>
        <w:rPr>
          <w:rStyle w:val="Hps"/>
        </w:rPr>
        <w:t>Ladd</w:t>
      </w:r>
      <w:r>
        <w:rPr>
          <w:rStyle w:val="Atn"/>
        </w:rPr>
        <w:t>, président de l'</w:t>
      </w:r>
      <w:r>
        <w:t xml:space="preserve">American Peace Society, a proposé, </w:t>
      </w:r>
      <w:r>
        <w:rPr>
          <w:rStyle w:val="Hps"/>
        </w:rPr>
        <w:t>dans son « </w:t>
      </w:r>
      <w:r>
        <w:rPr>
          <w:rStyle w:val="Hps"/>
        </w:rPr>
        <w:t>Essai</w:t>
      </w:r>
      <w:r>
        <w:t xml:space="preserve"> </w:t>
      </w:r>
      <w:r>
        <w:rPr>
          <w:rStyle w:val="Hps"/>
        </w:rPr>
        <w:t>majeur</w:t>
      </w:r>
      <w:r>
        <w:t xml:space="preserve"> </w:t>
      </w:r>
      <w:r>
        <w:rPr>
          <w:rStyle w:val="Hps"/>
        </w:rPr>
        <w:t>sur un</w:t>
      </w:r>
      <w:r>
        <w:t xml:space="preserve"> </w:t>
      </w:r>
      <w:r>
        <w:rPr>
          <w:rStyle w:val="Hps"/>
        </w:rPr>
        <w:t>Congrès des</w:t>
      </w:r>
      <w:r>
        <w:t xml:space="preserve"> </w:t>
      </w:r>
      <w:r>
        <w:rPr>
          <w:rStyle w:val="Hps"/>
        </w:rPr>
        <w:t>Nations Unies pour</w:t>
      </w:r>
      <w:r>
        <w:t xml:space="preserve"> </w:t>
      </w:r>
      <w:r>
        <w:rPr>
          <w:rStyle w:val="Hps"/>
        </w:rPr>
        <w:t>l'ajustement</w:t>
      </w:r>
      <w:r>
        <w:t xml:space="preserve"> </w:t>
      </w:r>
      <w:r>
        <w:rPr>
          <w:rStyle w:val="Hps"/>
        </w:rPr>
        <w:t>des conflits internationaux</w:t>
      </w:r>
      <w:r>
        <w:t xml:space="preserve"> </w:t>
      </w:r>
      <w:r>
        <w:rPr>
          <w:rStyle w:val="Hps"/>
        </w:rPr>
        <w:t>sans recourir aux armes »</w:t>
      </w:r>
      <w:r>
        <w:t xml:space="preserve">, </w:t>
      </w:r>
      <w:r>
        <w:rPr>
          <w:rStyle w:val="Hps"/>
        </w:rPr>
        <w:t>la création d'une</w:t>
      </w:r>
      <w:r>
        <w:t xml:space="preserve"> </w:t>
      </w:r>
      <w:r>
        <w:rPr>
          <w:rStyle w:val="Hps"/>
        </w:rPr>
        <w:t>Cour suprême d'arbitrage</w:t>
      </w:r>
      <w:r>
        <w:t xml:space="preserve"> </w:t>
      </w:r>
      <w:r>
        <w:rPr>
          <w:rStyle w:val="Hps"/>
        </w:rPr>
        <w:t>(</w:t>
      </w:r>
      <w:r>
        <w:t xml:space="preserve">Cour </w:t>
      </w:r>
      <w:r>
        <w:rPr>
          <w:rStyle w:val="Hps"/>
        </w:rPr>
        <w:t>des Nations)</w:t>
      </w:r>
      <w:r>
        <w:t xml:space="preserve">, </w:t>
      </w:r>
      <w:r>
        <w:rPr>
          <w:rStyle w:val="Hps"/>
        </w:rPr>
        <w:t>nommée par le</w:t>
      </w:r>
      <w:r>
        <w:t xml:space="preserve"> </w:t>
      </w:r>
      <w:r>
        <w:rPr>
          <w:rStyle w:val="Hps"/>
        </w:rPr>
        <w:t>Congrès des</w:t>
      </w:r>
      <w:r>
        <w:t xml:space="preserve"> </w:t>
      </w:r>
      <w:r>
        <w:rPr>
          <w:rStyle w:val="Hps"/>
        </w:rPr>
        <w:t>Nations</w:t>
      </w:r>
      <w:r>
        <w:t xml:space="preserve">, mais </w:t>
      </w:r>
      <w:r>
        <w:rPr>
          <w:rStyle w:val="Hps"/>
        </w:rPr>
        <w:t>sans</w:t>
      </w:r>
      <w:r>
        <w:t xml:space="preserve"> </w:t>
      </w:r>
      <w:r>
        <w:rPr>
          <w:rStyle w:val="Hps"/>
        </w:rPr>
        <w:t>pouvoir de coercition.</w:t>
      </w:r>
      <w:r>
        <w:rPr>
          <w:rStyle w:val="Caratteredellanota"/>
        </w:rPr>
        <w:t xml:space="preserve"> </w:t>
      </w:r>
    </w:p>
    <w:p w:rsidR="0046662B" w:rsidRDefault="00BD4B6A">
      <w:pPr>
        <w:spacing w:line="360" w:lineRule="auto"/>
        <w:jc w:val="both"/>
        <w:rPr>
          <w:rStyle w:val="Hps"/>
        </w:rPr>
      </w:pPr>
      <w:r>
        <w:rPr>
          <w:rStyle w:val="Hps"/>
        </w:rPr>
        <w:t>Ladd</w:t>
      </w:r>
      <w:r>
        <w:t xml:space="preserve"> </w:t>
      </w:r>
      <w:r>
        <w:rPr>
          <w:rStyle w:val="Hps"/>
        </w:rPr>
        <w:t>se réfère aux</w:t>
      </w:r>
      <w:r>
        <w:t xml:space="preserve"> </w:t>
      </w:r>
      <w:r>
        <w:rPr>
          <w:rStyle w:val="Hps"/>
        </w:rPr>
        <w:t>deux modèles:</w:t>
      </w:r>
      <w:r>
        <w:t xml:space="preserve"> </w:t>
      </w:r>
      <w:r>
        <w:rPr>
          <w:rStyle w:val="Hps"/>
        </w:rPr>
        <w:t>la Cour suprême américaine</w:t>
      </w:r>
      <w:r>
        <w:t xml:space="preserve">, bien sûr, mais surtout à </w:t>
      </w:r>
      <w:r>
        <w:rPr>
          <w:rStyle w:val="Hps"/>
        </w:rPr>
        <w:t>la Haute Cour de</w:t>
      </w:r>
      <w:r>
        <w:rPr>
          <w:i/>
        </w:rPr>
        <w:t xml:space="preserve"> </w:t>
      </w:r>
      <w:r>
        <w:rPr>
          <w:rStyle w:val="Hps"/>
          <w:i/>
        </w:rPr>
        <w:t>Admiralty</w:t>
      </w:r>
      <w:r>
        <w:t xml:space="preserve">, en </w:t>
      </w:r>
      <w:r>
        <w:rPr>
          <w:rStyle w:val="Hps"/>
        </w:rPr>
        <w:t>anglais</w:t>
      </w:r>
      <w:r>
        <w:rPr>
          <w:i/>
        </w:rPr>
        <w:t xml:space="preserve"> High Court of Admiralty</w:t>
      </w:r>
      <w:r>
        <w:rPr>
          <w:rStyle w:val="Hps"/>
        </w:rPr>
        <w:t xml:space="preserve">. </w:t>
      </w:r>
    </w:p>
    <w:p w:rsidR="0046662B" w:rsidRDefault="00BD4B6A">
      <w:pPr>
        <w:spacing w:line="360" w:lineRule="auto"/>
        <w:jc w:val="both"/>
        <w:rPr>
          <w:rStyle w:val="Hps"/>
        </w:rPr>
      </w:pPr>
      <w:r>
        <w:rPr>
          <w:rStyle w:val="Hps"/>
        </w:rPr>
        <w:t>Les intellectuels</w:t>
      </w:r>
      <w:r>
        <w:t xml:space="preserve"> </w:t>
      </w:r>
      <w:r>
        <w:rPr>
          <w:rStyle w:val="Hps"/>
        </w:rPr>
        <w:t>"</w:t>
      </w:r>
      <w:r>
        <w:t xml:space="preserve">pacifistes", comme </w:t>
      </w:r>
      <w:r>
        <w:rPr>
          <w:rStyle w:val="Hps"/>
        </w:rPr>
        <w:t>Ladd,</w:t>
      </w:r>
      <w:r>
        <w:t xml:space="preserve"> </w:t>
      </w:r>
      <w:r>
        <w:rPr>
          <w:rStyle w:val="Hps"/>
        </w:rPr>
        <w:t>avaient beaucoup de</w:t>
      </w:r>
      <w:r>
        <w:t xml:space="preserve"> </w:t>
      </w:r>
      <w:r>
        <w:rPr>
          <w:rStyle w:val="Hps"/>
        </w:rPr>
        <w:t>références culturelles</w:t>
      </w:r>
      <w:r>
        <w:t xml:space="preserve">, </w:t>
      </w:r>
      <w:r>
        <w:rPr>
          <w:rStyle w:val="Hps"/>
        </w:rPr>
        <w:t>mais surtout</w:t>
      </w:r>
      <w:r>
        <w:t xml:space="preserve"> </w:t>
      </w:r>
      <w:r>
        <w:rPr>
          <w:rStyle w:val="Hps"/>
        </w:rPr>
        <w:t>Richard C</w:t>
      </w:r>
      <w:r>
        <w:rPr>
          <w:rStyle w:val="Hps"/>
        </w:rPr>
        <w:t>umberland</w:t>
      </w:r>
      <w:r>
        <w:t xml:space="preserve"> </w:t>
      </w:r>
      <w:r>
        <w:rPr>
          <w:rStyle w:val="Hps"/>
        </w:rPr>
        <w:t>et surtout Jean-</w:t>
      </w:r>
      <w:r>
        <w:t xml:space="preserve">Jacques </w:t>
      </w:r>
      <w:r>
        <w:rPr>
          <w:rStyle w:val="Hps"/>
        </w:rPr>
        <w:t xml:space="preserve">Burlamaqui (Nous ne pouvons pas aller plus loin sur ce point, pour des raisons évidentes). </w:t>
      </w:r>
    </w:p>
    <w:p w:rsidR="0046662B" w:rsidRDefault="00BD4B6A">
      <w:pPr>
        <w:spacing w:line="360" w:lineRule="auto"/>
        <w:jc w:val="both"/>
      </w:pPr>
      <w:r>
        <w:rPr>
          <w:rStyle w:val="Hps"/>
        </w:rPr>
        <w:t>Mais, je peux dire</w:t>
      </w:r>
      <w:r>
        <w:t xml:space="preserve"> </w:t>
      </w:r>
      <w:r>
        <w:rPr>
          <w:rStyle w:val="Hps"/>
        </w:rPr>
        <w:t>seulement que le premier,</w:t>
      </w:r>
      <w:r>
        <w:t xml:space="preserve"> Cumberland, très connu entre les pacifistes britanniques, a proposé (</w:t>
      </w:r>
      <w:r>
        <w:rPr>
          <w:i/>
        </w:rPr>
        <w:t>De legibus Natur</w:t>
      </w:r>
      <w:r>
        <w:rPr>
          <w:i/>
        </w:rPr>
        <w:t>ae</w:t>
      </w:r>
      <w:r>
        <w:t xml:space="preserve">, 1672) une nouvelle doctrine morale fondée sur le principe de la </w:t>
      </w:r>
      <w:r>
        <w:rPr>
          <w:i/>
        </w:rPr>
        <w:t>benevolentia universalis</w:t>
      </w:r>
      <w:r>
        <w:t>, c’est à dire la possibilité réelle et concrète de réaliser le plus grand bien possible pour l'humanité tout entière, en fournissant ainsi la base de l'éthique uti</w:t>
      </w:r>
      <w:r>
        <w:t>litariste anglais « antihobbesiaine ».</w:t>
      </w:r>
    </w:p>
    <w:p w:rsidR="0046662B" w:rsidRDefault="00BD4B6A">
      <w:pPr>
        <w:spacing w:line="360" w:lineRule="auto"/>
        <w:jc w:val="both"/>
      </w:pPr>
      <w:r>
        <w:rPr>
          <w:rStyle w:val="Hps"/>
        </w:rPr>
        <w:t>Burlamaqui a influencé les</w:t>
      </w:r>
      <w:r>
        <w:t xml:space="preserve"> </w:t>
      </w:r>
      <w:r>
        <w:rPr>
          <w:rStyle w:val="Hps"/>
        </w:rPr>
        <w:t>pères fondateurs</w:t>
      </w:r>
      <w:r>
        <w:t xml:space="preserve"> </w:t>
      </w:r>
      <w:r>
        <w:rPr>
          <w:rStyle w:val="Hps"/>
        </w:rPr>
        <w:t>américains</w:t>
      </w:r>
      <w:r>
        <w:t xml:space="preserve"> </w:t>
      </w:r>
      <w:r>
        <w:rPr>
          <w:rStyle w:val="Hps"/>
        </w:rPr>
        <w:t>sur le concept de</w:t>
      </w:r>
      <w:r>
        <w:t xml:space="preserve"> </w:t>
      </w:r>
      <w:r>
        <w:rPr>
          <w:i/>
        </w:rPr>
        <w:t>checks and balance</w:t>
      </w:r>
      <w:r>
        <w:t xml:space="preserve"> </w:t>
      </w:r>
      <w:r>
        <w:rPr>
          <w:rStyle w:val="Hps"/>
        </w:rPr>
        <w:t>et du contrôle judiciaire du parlement</w:t>
      </w:r>
      <w:r>
        <w:rPr>
          <w:i/>
        </w:rPr>
        <w:t xml:space="preserve"> (judicial review)</w:t>
      </w:r>
      <w:r>
        <w:t>, etcetera.</w:t>
      </w:r>
    </w:p>
    <w:p w:rsidR="0046662B" w:rsidRDefault="00BD4B6A">
      <w:pPr>
        <w:spacing w:line="360" w:lineRule="auto"/>
        <w:jc w:val="both"/>
        <w:rPr>
          <w:rStyle w:val="Hps"/>
        </w:rPr>
      </w:pPr>
      <w:r>
        <w:rPr>
          <w:rStyle w:val="Hps"/>
        </w:rPr>
        <w:t xml:space="preserve">Sans oublier, cependant, que déjà dans les années trente </w:t>
      </w:r>
      <w:r>
        <w:rPr>
          <w:rStyle w:val="Hps"/>
        </w:rPr>
        <w:t>du XIXe siècle, les thèmes de l'introduction de l'arbitrage et la mise en place d'une Haute Cour ont été débattus dans les parlements de la fédération Américaine, à partir du Massachusetts. En 1837, la Chambre de Massachusetts a pris en considération favor</w:t>
      </w:r>
      <w:r>
        <w:rPr>
          <w:rStyle w:val="Hps"/>
        </w:rPr>
        <w:t>able une pétition déposée par Ladd et Thompson, en demandant la création d'une Haute Cour de nations qui assurait l'introduction de l'arbitrage pour résoudre les conflits entre les États.</w:t>
      </w:r>
    </w:p>
    <w:p w:rsidR="0046662B" w:rsidRDefault="00BD4B6A">
      <w:pPr>
        <w:spacing w:line="360" w:lineRule="auto"/>
        <w:jc w:val="both"/>
      </w:pPr>
      <w:r>
        <w:rPr>
          <w:rStyle w:val="Hps"/>
        </w:rPr>
        <w:t>Lors de la</w:t>
      </w:r>
      <w:r>
        <w:t xml:space="preserve"> </w:t>
      </w:r>
      <w:r>
        <w:rPr>
          <w:rStyle w:val="Hps"/>
        </w:rPr>
        <w:t>deuxième Conférence mondiale</w:t>
      </w:r>
      <w:r>
        <w:t xml:space="preserve"> </w:t>
      </w:r>
      <w:r>
        <w:rPr>
          <w:rStyle w:val="Hps"/>
        </w:rPr>
        <w:t>sur la paix (1849),</w:t>
      </w:r>
      <w:r>
        <w:t xml:space="preserve"> </w:t>
      </w:r>
      <w:r>
        <w:rPr>
          <w:rStyle w:val="Hps"/>
        </w:rPr>
        <w:t>Elihu</w:t>
      </w:r>
      <w:r>
        <w:t xml:space="preserve"> </w:t>
      </w:r>
      <w:r>
        <w:rPr>
          <w:rStyle w:val="Hps"/>
        </w:rPr>
        <w:t>Bu</w:t>
      </w:r>
      <w:r>
        <w:rPr>
          <w:rStyle w:val="Hps"/>
        </w:rPr>
        <w:t>rrit</w:t>
      </w:r>
      <w:r>
        <w:t xml:space="preserve">, l'un des </w:t>
      </w:r>
      <w:r>
        <w:rPr>
          <w:rStyle w:val="Hps"/>
        </w:rPr>
        <w:t>plus importants</w:t>
      </w:r>
      <w:r>
        <w:t xml:space="preserve"> </w:t>
      </w:r>
      <w:r>
        <w:rPr>
          <w:rStyle w:val="Hps"/>
        </w:rPr>
        <w:t>leaders</w:t>
      </w:r>
      <w:r>
        <w:t xml:space="preserve"> </w:t>
      </w:r>
      <w:r>
        <w:rPr>
          <w:rStyle w:val="Hps"/>
        </w:rPr>
        <w:t>anti-guerre</w:t>
      </w:r>
      <w:r>
        <w:t xml:space="preserve"> </w:t>
      </w:r>
      <w:r>
        <w:rPr>
          <w:rStyle w:val="Hps"/>
        </w:rPr>
        <w:t>du siècle</w:t>
      </w:r>
      <w:r>
        <w:t xml:space="preserve">, a déclaré que: </w:t>
      </w:r>
      <w:r>
        <w:rPr>
          <w:i/>
        </w:rPr>
        <w:t>the principle of Arbitration was sanctioned by Roman law, is recognized in modern jurisprudence, recommended in the Christian scripture, and is often resorted to in private life</w:t>
      </w:r>
      <w:r>
        <w:rPr>
          <w:rStyle w:val="Rimandonotaapidipagina1"/>
        </w:rPr>
        <w:footnoteReference w:id="3"/>
      </w:r>
      <w:r>
        <w:t>.</w:t>
      </w:r>
    </w:p>
    <w:p w:rsidR="0046662B" w:rsidRDefault="00BD4B6A">
      <w:pPr>
        <w:spacing w:line="360" w:lineRule="auto"/>
        <w:jc w:val="both"/>
      </w:pPr>
      <w:r>
        <w:rPr>
          <w:rStyle w:val="Hps"/>
        </w:rPr>
        <w:t>Donc</w:t>
      </w:r>
      <w:r>
        <w:t xml:space="preserve">, </w:t>
      </w:r>
      <w:r>
        <w:rPr>
          <w:rStyle w:val="Hps"/>
        </w:rPr>
        <w:t>pendant les</w:t>
      </w:r>
      <w:r>
        <w:rPr>
          <w:rStyle w:val="Shorttext"/>
        </w:rPr>
        <w:t xml:space="preserve"> </w:t>
      </w:r>
      <w:r>
        <w:rPr>
          <w:rStyle w:val="Hps"/>
        </w:rPr>
        <w:t>années quarante du</w:t>
      </w:r>
      <w:r>
        <w:rPr>
          <w:rStyle w:val="Shorttext"/>
        </w:rPr>
        <w:t xml:space="preserve"> </w:t>
      </w:r>
      <w:r>
        <w:rPr>
          <w:rStyle w:val="Hps"/>
        </w:rPr>
        <w:t>XIXe siècle, d'une part</w:t>
      </w:r>
      <w:r>
        <w:t xml:space="preserve"> fut  </w:t>
      </w:r>
      <w:r>
        <w:rPr>
          <w:rStyle w:val="Hps"/>
        </w:rPr>
        <w:t>renforcé</w:t>
      </w:r>
      <w:r>
        <w:t xml:space="preserve"> </w:t>
      </w:r>
      <w:r>
        <w:rPr>
          <w:rStyle w:val="Hps"/>
        </w:rPr>
        <w:t>la théorie institutionnelle</w:t>
      </w:r>
      <w:r>
        <w:t xml:space="preserve"> </w:t>
      </w:r>
      <w:r>
        <w:rPr>
          <w:rStyle w:val="Hps"/>
        </w:rPr>
        <w:t>et l'autre côté</w:t>
      </w:r>
      <w:r>
        <w:t xml:space="preserve"> fut</w:t>
      </w:r>
      <w:r>
        <w:rPr>
          <w:rStyle w:val="Hps"/>
        </w:rPr>
        <w:t xml:space="preserve"> renforcée</w:t>
      </w:r>
      <w:r>
        <w:t xml:space="preserve"> </w:t>
      </w:r>
      <w:r>
        <w:rPr>
          <w:rStyle w:val="Hps"/>
        </w:rPr>
        <w:t>l'action politique</w:t>
      </w:r>
      <w:r>
        <w:t xml:space="preserve"> </w:t>
      </w:r>
      <w:r>
        <w:rPr>
          <w:rStyle w:val="Hps"/>
        </w:rPr>
        <w:t>en faveur</w:t>
      </w:r>
      <w:r>
        <w:t xml:space="preserve"> </w:t>
      </w:r>
      <w:r>
        <w:rPr>
          <w:rStyle w:val="Hps"/>
        </w:rPr>
        <w:t>de l'arbitrage</w:t>
      </w:r>
      <w:r>
        <w:t>.</w:t>
      </w:r>
    </w:p>
    <w:p w:rsidR="0046662B" w:rsidRDefault="00BD4B6A">
      <w:pPr>
        <w:spacing w:line="360" w:lineRule="auto"/>
        <w:jc w:val="both"/>
      </w:pPr>
      <w:r>
        <w:rPr>
          <w:rStyle w:val="Hps"/>
        </w:rPr>
        <w:t>L'arbitrage</w:t>
      </w:r>
      <w:r>
        <w:t xml:space="preserve"> </w:t>
      </w:r>
      <w:r>
        <w:rPr>
          <w:rStyle w:val="Hps"/>
        </w:rPr>
        <w:t>devient alors une</w:t>
      </w:r>
      <w:r>
        <w:t xml:space="preserve"> </w:t>
      </w:r>
      <w:r>
        <w:rPr>
          <w:rStyle w:val="Hps"/>
        </w:rPr>
        <w:t>"méthode"</w:t>
      </w:r>
      <w:r>
        <w:t xml:space="preserve"> </w:t>
      </w:r>
      <w:r>
        <w:rPr>
          <w:rStyle w:val="Hps"/>
        </w:rPr>
        <w:t>de négociation</w:t>
      </w:r>
      <w:r>
        <w:rPr>
          <w:rStyle w:val="Rimandonotaapidipagina1"/>
        </w:rPr>
        <w:footnoteReference w:id="4"/>
      </w:r>
      <w:r>
        <w:rPr>
          <w:rStyle w:val="Hps"/>
        </w:rPr>
        <w:t xml:space="preserve"> des différends</w:t>
      </w:r>
      <w:r>
        <w:t>, que l</w:t>
      </w:r>
      <w:r>
        <w:t xml:space="preserve">es parties </w:t>
      </w:r>
      <w:r>
        <w:rPr>
          <w:rStyle w:val="Hps"/>
        </w:rPr>
        <w:t>en conflit</w:t>
      </w:r>
      <w:r>
        <w:t xml:space="preserve"> </w:t>
      </w:r>
      <w:r>
        <w:rPr>
          <w:rStyle w:val="Hps"/>
        </w:rPr>
        <w:t>confient à</w:t>
      </w:r>
      <w:r>
        <w:t xml:space="preserve"> </w:t>
      </w:r>
      <w:r>
        <w:rPr>
          <w:rStyle w:val="Hps"/>
        </w:rPr>
        <w:t>un tiers,</w:t>
      </w:r>
      <w:r>
        <w:t xml:space="preserve"> </w:t>
      </w:r>
      <w:r>
        <w:rPr>
          <w:rStyle w:val="Hps"/>
        </w:rPr>
        <w:t>considéré comme impartial</w:t>
      </w:r>
      <w:r>
        <w:t xml:space="preserve"> </w:t>
      </w:r>
      <w:r>
        <w:rPr>
          <w:rStyle w:val="Hps"/>
        </w:rPr>
        <w:t>et fiable (un souverain, un particulier,  "corps constitué")</w:t>
      </w:r>
      <w:r>
        <w:t xml:space="preserve">. </w:t>
      </w:r>
    </w:p>
    <w:p w:rsidR="0046662B" w:rsidRDefault="00BD4B6A">
      <w:pPr>
        <w:spacing w:line="360" w:lineRule="auto"/>
        <w:jc w:val="both"/>
      </w:pPr>
      <w:r>
        <w:rPr>
          <w:rStyle w:val="Hps"/>
        </w:rPr>
        <w:t>Cette forme de négociation</w:t>
      </w:r>
      <w:r>
        <w:t xml:space="preserve"> </w:t>
      </w:r>
      <w:r>
        <w:rPr>
          <w:rStyle w:val="Hps"/>
        </w:rPr>
        <w:t>-</w:t>
      </w:r>
      <w:r>
        <w:t xml:space="preserve"> </w:t>
      </w:r>
      <w:r>
        <w:rPr>
          <w:rStyle w:val="Hps"/>
        </w:rPr>
        <w:t>qui est basée sur</w:t>
      </w:r>
      <w:r>
        <w:t xml:space="preserve"> </w:t>
      </w:r>
      <w:r>
        <w:rPr>
          <w:rStyle w:val="Hps"/>
        </w:rPr>
        <w:t>un compromis</w:t>
      </w:r>
      <w:r>
        <w:t xml:space="preserve"> </w:t>
      </w:r>
      <w:r>
        <w:rPr>
          <w:rStyle w:val="Hps"/>
        </w:rPr>
        <w:t>(engagement</w:t>
      </w:r>
      <w:r>
        <w:t xml:space="preserve">), une </w:t>
      </w:r>
      <w:r>
        <w:rPr>
          <w:rStyle w:val="Hps"/>
        </w:rPr>
        <w:t>"clause compromissoire</w:t>
      </w:r>
      <w:r>
        <w:rPr>
          <w:rStyle w:val="Rimandonotaapidipagina1"/>
        </w:rPr>
        <w:footnoteReference w:id="5"/>
      </w:r>
      <w:r>
        <w:rPr>
          <w:rStyle w:val="Hps"/>
        </w:rPr>
        <w:t>",</w:t>
      </w:r>
      <w:r>
        <w:rPr>
          <w:rStyle w:val="Hps"/>
        </w:rPr>
        <w:t xml:space="preserve"> introduite dans la stipulation et</w:t>
      </w:r>
      <w:r>
        <w:t xml:space="preserve"> </w:t>
      </w:r>
      <w:r>
        <w:rPr>
          <w:rStyle w:val="Hps"/>
        </w:rPr>
        <w:t>la définition des traités</w:t>
      </w:r>
      <w:r>
        <w:t xml:space="preserve"> </w:t>
      </w:r>
      <w:r>
        <w:rPr>
          <w:rStyle w:val="Hps"/>
        </w:rPr>
        <w:t>permanents</w:t>
      </w:r>
      <w:r>
        <w:t xml:space="preserve"> </w:t>
      </w:r>
      <w:r>
        <w:rPr>
          <w:rStyle w:val="Hps"/>
        </w:rPr>
        <w:t>-</w:t>
      </w:r>
      <w:r>
        <w:t xml:space="preserve"> </w:t>
      </w:r>
      <w:r>
        <w:rPr>
          <w:rStyle w:val="Hps"/>
        </w:rPr>
        <w:t>est à distinguer</w:t>
      </w:r>
      <w:r>
        <w:t xml:space="preserve"> </w:t>
      </w:r>
      <w:r>
        <w:rPr>
          <w:rStyle w:val="Hps"/>
        </w:rPr>
        <w:t>de la</w:t>
      </w:r>
      <w:r>
        <w:t xml:space="preserve"> </w:t>
      </w:r>
      <w:r>
        <w:rPr>
          <w:rStyle w:val="Hps"/>
        </w:rPr>
        <w:t>«adjudication»</w:t>
      </w:r>
      <w:r>
        <w:t xml:space="preserve">, </w:t>
      </w:r>
      <w:r>
        <w:rPr>
          <w:rStyle w:val="Hps"/>
        </w:rPr>
        <w:t>dans le monde anglo</w:t>
      </w:r>
      <w:r>
        <w:t>-saxon,</w:t>
      </w:r>
      <w:r>
        <w:rPr>
          <w:rStyle w:val="Hps"/>
        </w:rPr>
        <w:t xml:space="preserve"> composé</w:t>
      </w:r>
      <w:r>
        <w:t xml:space="preserve"> </w:t>
      </w:r>
      <w:r>
        <w:rPr>
          <w:rStyle w:val="Hps"/>
        </w:rPr>
        <w:t>d'une procédure judiciaire</w:t>
      </w:r>
      <w:r>
        <w:t xml:space="preserve">, qui rend </w:t>
      </w:r>
      <w:r>
        <w:rPr>
          <w:rStyle w:val="Hps"/>
        </w:rPr>
        <w:t>une sentence,</w:t>
      </w:r>
      <w:r>
        <w:t xml:space="preserve"> émanant d’un</w:t>
      </w:r>
      <w:r>
        <w:rPr>
          <w:rStyle w:val="Hps"/>
        </w:rPr>
        <w:t xml:space="preserve"> « Conseil des juges »</w:t>
      </w:r>
      <w:r>
        <w:t>, conformément aux règl</w:t>
      </w:r>
      <w:r>
        <w:t xml:space="preserve">es </w:t>
      </w:r>
      <w:r>
        <w:rPr>
          <w:rStyle w:val="Hps"/>
        </w:rPr>
        <w:t>de droit</w:t>
      </w:r>
      <w:r>
        <w:rPr>
          <w:rStyle w:val="Rimandonotaapidipagina1"/>
        </w:rPr>
        <w:footnoteReference w:id="6"/>
      </w:r>
      <w:r>
        <w:t>.</w:t>
      </w:r>
    </w:p>
    <w:p w:rsidR="0046662B" w:rsidRDefault="00BD4B6A">
      <w:pPr>
        <w:spacing w:line="360" w:lineRule="auto"/>
        <w:jc w:val="both"/>
      </w:pPr>
      <w:r>
        <w:t xml:space="preserve">La décision des arbitres pourrait être justifiée sur la base des règles de droit, qui pourrait être, dans les décennies suivantes, appelé le droit international, et aussi selon les coutumes et les traditions juridiques, souvent partagées par </w:t>
      </w:r>
      <w:r>
        <w:t xml:space="preserve">des juristes et des professeurs d'université continentales et par leurs collèguesanglo-saxons de </w:t>
      </w:r>
      <w:r>
        <w:rPr>
          <w:i/>
        </w:rPr>
        <w:t>Common Law</w:t>
      </w:r>
      <w:r>
        <w:t>. Ce problème sera le sujet central dans le débat des juristes pendant toute la deuxième moitié du XIC siècle.</w:t>
      </w:r>
    </w:p>
    <w:p w:rsidR="0046662B" w:rsidRDefault="00BD4B6A">
      <w:pPr>
        <w:spacing w:line="360" w:lineRule="auto"/>
        <w:jc w:val="both"/>
      </w:pPr>
      <w:r>
        <w:t>Dans les débats politiques, qui marque</w:t>
      </w:r>
      <w:r>
        <w:t>nt le long processus de consolidation de la justice internationale, les deux «procédures» ont tendance à se chevaucher, mais la différence entre une méthode de négociation gérée par des arbitres qui sont des « juges», qui pourraient être, par exemple, chef</w:t>
      </w:r>
      <w:r>
        <w:t xml:space="preserve">s d'Etat des pays neutres, et une procédure gérée par des juges professionnels doit être pris en compte. </w:t>
      </w:r>
    </w:p>
    <w:p w:rsidR="0046662B" w:rsidRDefault="00BD4B6A">
      <w:pPr>
        <w:spacing w:line="360" w:lineRule="auto"/>
        <w:jc w:val="both"/>
      </w:pPr>
      <w:r>
        <w:t xml:space="preserve">Jusqu'au début du XIXe siècle, la résolution «arbitrale» entre les Etats était une pratique presque inconnu, ou ignoré, et donc la signature de </w:t>
      </w:r>
      <w:r>
        <w:t>traités internationaux n'était pas une pratique très répandue</w:t>
      </w:r>
      <w:r>
        <w:rPr>
          <w:rStyle w:val="Rimandonotaapidipagina1"/>
        </w:rPr>
        <w:footnoteReference w:id="7"/>
      </w:r>
      <w:r>
        <w:t xml:space="preserve">. </w:t>
      </w:r>
    </w:p>
    <w:p w:rsidR="0046662B" w:rsidRDefault="00BD4B6A">
      <w:pPr>
        <w:spacing w:line="360" w:lineRule="auto"/>
        <w:jc w:val="both"/>
      </w:pPr>
      <w:r>
        <w:t>Cela ne signifie pas que les Etats européens de l'ancien régime n'avaient jamais recours à l'arbitrage, mais il était extrêmement difficile que les monarques se soumettraient au jugement d'un</w:t>
      </w:r>
      <w:r>
        <w:t xml:space="preserve"> tiers. </w:t>
      </w:r>
    </w:p>
    <w:p w:rsidR="0046662B" w:rsidRDefault="00BD4B6A">
      <w:pPr>
        <w:spacing w:line="360" w:lineRule="auto"/>
        <w:jc w:val="both"/>
        <w:rPr>
          <w:rStyle w:val="Hps"/>
        </w:rPr>
      </w:pPr>
      <w:r>
        <w:rPr>
          <w:rStyle w:val="Hps"/>
        </w:rPr>
        <w:t>Les gouvernements ont</w:t>
      </w:r>
      <w:r>
        <w:t xml:space="preserve"> </w:t>
      </w:r>
      <w:r>
        <w:rPr>
          <w:rStyle w:val="Hps"/>
        </w:rPr>
        <w:t>toujours préféré</w:t>
      </w:r>
      <w:r>
        <w:t xml:space="preserve"> </w:t>
      </w:r>
      <w:r>
        <w:rPr>
          <w:rStyle w:val="Hps"/>
        </w:rPr>
        <w:t>la diplomatie, les systèmes diplomatiques</w:t>
      </w:r>
      <w:r>
        <w:t xml:space="preserve"> </w:t>
      </w:r>
      <w:r>
        <w:rPr>
          <w:rStyle w:val="Hps"/>
        </w:rPr>
        <w:t>et la médiation, plutôt que</w:t>
      </w:r>
      <w:r>
        <w:t xml:space="preserve"> </w:t>
      </w:r>
      <w:r>
        <w:rPr>
          <w:rStyle w:val="Hps"/>
        </w:rPr>
        <w:t>des «formalismes»</w:t>
      </w:r>
      <w:r>
        <w:t xml:space="preserve"> </w:t>
      </w:r>
      <w:r>
        <w:rPr>
          <w:rStyle w:val="Hps"/>
        </w:rPr>
        <w:t>de l'arbitrage.</w:t>
      </w:r>
    </w:p>
    <w:p w:rsidR="0046662B" w:rsidRDefault="00BD4B6A">
      <w:pPr>
        <w:spacing w:line="360" w:lineRule="auto"/>
        <w:jc w:val="both"/>
      </w:pPr>
      <w:r>
        <w:t>Les juristes du XIXe siècle ressemblait certains cas, bien connus, dans l'histoire politique du continen</w:t>
      </w:r>
      <w:r>
        <w:t>t européen, qui ont impliqué monarchies européennes</w:t>
      </w:r>
      <w:r>
        <w:rPr>
          <w:rStyle w:val="Rimandonotaapidipagina1"/>
        </w:rPr>
        <w:footnoteReference w:id="8"/>
      </w:r>
      <w:r>
        <w:t xml:space="preserve">. </w:t>
      </w:r>
    </w:p>
    <w:p w:rsidR="0046662B" w:rsidRDefault="00BD4B6A">
      <w:pPr>
        <w:spacing w:line="360" w:lineRule="auto"/>
        <w:jc w:val="both"/>
        <w:rPr>
          <w:rStyle w:val="Hps"/>
        </w:rPr>
      </w:pPr>
      <w:r>
        <w:t>Le moment de la transition vers une phase de reprise du modèle d'arbitrage, comme une négociation « juridique » et international, fut le succès de certains accords importants, tels que le Traité de Lon</w:t>
      </w:r>
      <w:r>
        <w:t>dres (traité Jay) du 19 Novembre 1794 entre les Etats-Unis et la Grande-Bretagne, et après le cas "Portendick" de 1843 entre la Grande-Bretagne et la France.</w:t>
      </w:r>
    </w:p>
    <w:p w:rsidR="0046662B" w:rsidRDefault="00BD4B6A">
      <w:pPr>
        <w:spacing w:line="360" w:lineRule="auto"/>
      </w:pPr>
      <w:r>
        <w:rPr>
          <w:rStyle w:val="Hps"/>
        </w:rPr>
        <w:t>L'historiographie</w:t>
      </w:r>
      <w:r>
        <w:t xml:space="preserve"> </w:t>
      </w:r>
      <w:r>
        <w:rPr>
          <w:rStyle w:val="Hps"/>
        </w:rPr>
        <w:t>a</w:t>
      </w:r>
      <w:r>
        <w:t xml:space="preserve"> </w:t>
      </w:r>
      <w:r>
        <w:rPr>
          <w:rStyle w:val="Hps"/>
        </w:rPr>
        <w:t>longtemps montré</w:t>
      </w:r>
      <w:r>
        <w:t xml:space="preserve"> </w:t>
      </w:r>
      <w:r>
        <w:rPr>
          <w:rStyle w:val="Hps"/>
        </w:rPr>
        <w:t>une périodisation</w:t>
      </w:r>
      <w:r>
        <w:t xml:space="preserve"> </w:t>
      </w:r>
      <w:r>
        <w:rPr>
          <w:rStyle w:val="Hps"/>
        </w:rPr>
        <w:t>des</w:t>
      </w:r>
      <w:r>
        <w:t xml:space="preserve"> </w:t>
      </w:r>
      <w:r>
        <w:rPr>
          <w:rStyle w:val="Hps"/>
        </w:rPr>
        <w:t>étapes</w:t>
      </w:r>
      <w:r>
        <w:t xml:space="preserve"> </w:t>
      </w:r>
      <w:r>
        <w:rPr>
          <w:rStyle w:val="Hps"/>
        </w:rPr>
        <w:t>qui ont marqué</w:t>
      </w:r>
      <w:r>
        <w:t xml:space="preserve"> </w:t>
      </w:r>
      <w:r>
        <w:rPr>
          <w:rStyle w:val="Hps"/>
        </w:rPr>
        <w:t>le renforcement</w:t>
      </w:r>
      <w:r>
        <w:t xml:space="preserve"> </w:t>
      </w:r>
      <w:r>
        <w:rPr>
          <w:rStyle w:val="Hps"/>
        </w:rPr>
        <w:t>d</w:t>
      </w:r>
      <w:r>
        <w:rPr>
          <w:rStyle w:val="Hps"/>
        </w:rPr>
        <w:t>e l'arbitrage international</w:t>
      </w:r>
      <w:r>
        <w:t xml:space="preserve"> </w:t>
      </w:r>
      <w:r>
        <w:rPr>
          <w:rStyle w:val="Hps"/>
        </w:rPr>
        <w:t>en cas de conflit</w:t>
      </w:r>
      <w:r>
        <w:t xml:space="preserve"> </w:t>
      </w:r>
      <w:r>
        <w:rPr>
          <w:rStyle w:val="Hps"/>
        </w:rPr>
        <w:t>entre les Etats</w:t>
      </w:r>
      <w:r>
        <w:t xml:space="preserve">: une première phase </w:t>
      </w:r>
      <w:r>
        <w:rPr>
          <w:rStyle w:val="Hps"/>
        </w:rPr>
        <w:t>jusqu'à</w:t>
      </w:r>
      <w:r>
        <w:t xml:space="preserve"> </w:t>
      </w:r>
      <w:r>
        <w:rPr>
          <w:rStyle w:val="Hps"/>
        </w:rPr>
        <w:t>Réclamations de l'Alabama</w:t>
      </w:r>
      <w:r>
        <w:t xml:space="preserve"> </w:t>
      </w:r>
      <w:r>
        <w:rPr>
          <w:rStyle w:val="Hps"/>
        </w:rPr>
        <w:t>(1871)</w:t>
      </w:r>
      <w:r>
        <w:t xml:space="preserve">, une </w:t>
      </w:r>
      <w:r>
        <w:rPr>
          <w:rStyle w:val="Hps"/>
        </w:rPr>
        <w:t>deuxième à partir de</w:t>
      </w:r>
      <w:r>
        <w:t xml:space="preserve"> </w:t>
      </w:r>
      <w:r>
        <w:rPr>
          <w:rStyle w:val="Hps"/>
        </w:rPr>
        <w:t>la décennie</w:t>
      </w:r>
      <w:r>
        <w:t xml:space="preserve"> </w:t>
      </w:r>
      <w:r>
        <w:rPr>
          <w:rStyle w:val="Hps"/>
        </w:rPr>
        <w:t>soixante-dix</w:t>
      </w:r>
      <w:r>
        <w:t xml:space="preserve"> </w:t>
      </w:r>
      <w:r>
        <w:rPr>
          <w:rStyle w:val="Hps"/>
        </w:rPr>
        <w:t>à</w:t>
      </w:r>
      <w:r>
        <w:t xml:space="preserve"> </w:t>
      </w:r>
      <w:r>
        <w:rPr>
          <w:rStyle w:val="Hps"/>
        </w:rPr>
        <w:t>la première Conférence de</w:t>
      </w:r>
      <w:r>
        <w:t xml:space="preserve"> </w:t>
      </w:r>
      <w:r>
        <w:rPr>
          <w:rStyle w:val="Hps"/>
        </w:rPr>
        <w:t>la Haye en</w:t>
      </w:r>
      <w:r>
        <w:rPr>
          <w:rStyle w:val="Caratteredellanota"/>
        </w:rPr>
        <w:t xml:space="preserve"> </w:t>
      </w:r>
      <w:r>
        <w:rPr>
          <w:rStyle w:val="Hps"/>
        </w:rPr>
        <w:t>1899</w:t>
      </w:r>
      <w:r>
        <w:t xml:space="preserve">, </w:t>
      </w:r>
      <w:r>
        <w:rPr>
          <w:rStyle w:val="Hps"/>
        </w:rPr>
        <w:t>et une troisième phase</w:t>
      </w:r>
      <w:r>
        <w:t xml:space="preserve"> </w:t>
      </w:r>
      <w:r>
        <w:rPr>
          <w:rStyle w:val="Hps"/>
        </w:rPr>
        <w:t>des Conférence</w:t>
      </w:r>
      <w:r>
        <w:rPr>
          <w:rStyle w:val="Hps"/>
        </w:rPr>
        <w:t>s</w:t>
      </w:r>
      <w:r>
        <w:t xml:space="preserve"> </w:t>
      </w:r>
      <w:r>
        <w:rPr>
          <w:rStyle w:val="Hps"/>
        </w:rPr>
        <w:t>de La Haye</w:t>
      </w:r>
      <w:r>
        <w:t xml:space="preserve"> </w:t>
      </w:r>
      <w:r>
        <w:rPr>
          <w:rStyle w:val="Hps"/>
        </w:rPr>
        <w:t>jusqu'à la création de</w:t>
      </w:r>
      <w:r>
        <w:t xml:space="preserve"> </w:t>
      </w:r>
      <w:r>
        <w:rPr>
          <w:rStyle w:val="Hps"/>
        </w:rPr>
        <w:t>la Société des Nations</w:t>
      </w:r>
      <w:r>
        <w:t xml:space="preserve"> </w:t>
      </w:r>
      <w:r>
        <w:rPr>
          <w:rStyle w:val="Hps"/>
        </w:rPr>
        <w:t>dans les années ving</w:t>
      </w:r>
      <w:r>
        <w:t>.</w:t>
      </w:r>
      <w:r>
        <w:rPr>
          <w:rStyle w:val="Hps"/>
        </w:rPr>
        <w:t xml:space="preserve"> </w:t>
      </w:r>
    </w:p>
    <w:p w:rsidR="0046662B" w:rsidRDefault="00BD4B6A">
      <w:pPr>
        <w:spacing w:line="360" w:lineRule="auto"/>
        <w:jc w:val="both"/>
      </w:pPr>
      <w:r>
        <w:rPr>
          <w:rStyle w:val="Hps"/>
        </w:rPr>
        <w:t>Alors, seulement</w:t>
      </w:r>
      <w:r>
        <w:t xml:space="preserve"> </w:t>
      </w:r>
      <w:r>
        <w:rPr>
          <w:rStyle w:val="Hps"/>
        </w:rPr>
        <w:t>lentement</w:t>
      </w:r>
      <w:r>
        <w:t xml:space="preserve"> </w:t>
      </w:r>
      <w:r>
        <w:rPr>
          <w:rStyle w:val="Hps"/>
        </w:rPr>
        <w:t>prend forme</w:t>
      </w:r>
      <w:r>
        <w:t xml:space="preserve"> </w:t>
      </w:r>
      <w:r>
        <w:rPr>
          <w:rStyle w:val="Hps"/>
        </w:rPr>
        <w:t>dans la seconde moitié du XIX siècle</w:t>
      </w:r>
      <w:r>
        <w:t xml:space="preserve"> </w:t>
      </w:r>
      <w:r>
        <w:rPr>
          <w:rStyle w:val="Hps"/>
        </w:rPr>
        <w:t>une accélération</w:t>
      </w:r>
      <w:r>
        <w:t xml:space="preserve"> </w:t>
      </w:r>
      <w:r>
        <w:rPr>
          <w:rStyle w:val="Hps"/>
        </w:rPr>
        <w:t>réelle et perceptible</w:t>
      </w:r>
      <w:r>
        <w:t xml:space="preserve"> </w:t>
      </w:r>
      <w:r>
        <w:rPr>
          <w:rStyle w:val="Hps"/>
        </w:rPr>
        <w:t xml:space="preserve">de l'insertion </w:t>
      </w:r>
      <w:r>
        <w:t>de la clause de l'</w:t>
      </w:r>
      <w:r>
        <w:t xml:space="preserve">arbitrage pendant la stipulation des traités, en particulier </w:t>
      </w:r>
      <w:r>
        <w:rPr>
          <w:rStyle w:val="Hps"/>
        </w:rPr>
        <w:t>en ceux qui concerne</w:t>
      </w:r>
      <w:r>
        <w:t xml:space="preserve"> </w:t>
      </w:r>
      <w:r>
        <w:rPr>
          <w:rStyle w:val="Hps"/>
        </w:rPr>
        <w:t>certaines questions des</w:t>
      </w:r>
      <w:r>
        <w:t xml:space="preserve"> </w:t>
      </w:r>
      <w:r>
        <w:rPr>
          <w:rStyle w:val="Hps"/>
        </w:rPr>
        <w:t>conflits</w:t>
      </w:r>
      <w:r>
        <w:t xml:space="preserve"> </w:t>
      </w:r>
      <w:r>
        <w:rPr>
          <w:rStyle w:val="Hps"/>
        </w:rPr>
        <w:t>entre États</w:t>
      </w:r>
      <w:r>
        <w:rPr>
          <w:rStyle w:val="Rimandonotaapidipagina1"/>
        </w:rPr>
        <w:footnoteReference w:id="9"/>
      </w:r>
      <w:r>
        <w:rPr>
          <w:rStyle w:val="Hps"/>
        </w:rPr>
        <w:t>.</w:t>
      </w:r>
      <w:r>
        <w:t xml:space="preserve"> </w:t>
      </w:r>
      <w:r>
        <w:rPr>
          <w:rStyle w:val="Hps"/>
        </w:rPr>
        <w:t>Cette transition</w:t>
      </w:r>
      <w:r>
        <w:t xml:space="preserve">, </w:t>
      </w:r>
      <w:r>
        <w:rPr>
          <w:rStyle w:val="Hps"/>
        </w:rPr>
        <w:t>qui s'est développée</w:t>
      </w:r>
      <w:r>
        <w:t xml:space="preserve"> </w:t>
      </w:r>
      <w:r>
        <w:rPr>
          <w:rStyle w:val="Hps"/>
        </w:rPr>
        <w:t>à partir des</w:t>
      </w:r>
      <w:r>
        <w:t xml:space="preserve"> </w:t>
      </w:r>
      <w:r>
        <w:rPr>
          <w:rStyle w:val="Hps"/>
        </w:rPr>
        <w:t>années soixante-dix</w:t>
      </w:r>
      <w:r>
        <w:t xml:space="preserve">, a été consolidée </w:t>
      </w:r>
      <w:r>
        <w:rPr>
          <w:rStyle w:val="Hps"/>
        </w:rPr>
        <w:t>grâce aux conseils et soutiens</w:t>
      </w:r>
      <w:r>
        <w:t xml:space="preserve"> </w:t>
      </w:r>
      <w:r>
        <w:rPr>
          <w:rStyle w:val="Hps"/>
        </w:rPr>
        <w:t>de cer</w:t>
      </w:r>
      <w:r>
        <w:rPr>
          <w:rStyle w:val="Hps"/>
        </w:rPr>
        <w:t>tains</w:t>
      </w:r>
      <w:r>
        <w:t xml:space="preserve"> </w:t>
      </w:r>
      <w:r>
        <w:rPr>
          <w:rStyle w:val="Hps"/>
        </w:rPr>
        <w:t>réseaux transnationaux</w:t>
      </w:r>
      <w:r>
        <w:t xml:space="preserve"> </w:t>
      </w:r>
      <w:r>
        <w:rPr>
          <w:rStyle w:val="Hps"/>
        </w:rPr>
        <w:t>d' « experts »</w:t>
      </w:r>
      <w:r>
        <w:t xml:space="preserve">.  </w:t>
      </w:r>
    </w:p>
    <w:p w:rsidR="0046662B" w:rsidRDefault="00BD4B6A">
      <w:pPr>
        <w:spacing w:line="360" w:lineRule="auto"/>
        <w:jc w:val="both"/>
        <w:rPr>
          <w:rStyle w:val="Hps"/>
        </w:rPr>
      </w:pPr>
      <w:r>
        <w:rPr>
          <w:rStyle w:val="Hps"/>
        </w:rPr>
        <w:t>En fait</w:t>
      </w:r>
      <w:r>
        <w:t xml:space="preserve">, </w:t>
      </w:r>
      <w:r>
        <w:rPr>
          <w:rStyle w:val="Hps"/>
        </w:rPr>
        <w:t>depuis les années trente</w:t>
      </w:r>
      <w:r>
        <w:t xml:space="preserve"> </w:t>
      </w:r>
      <w:r>
        <w:rPr>
          <w:rStyle w:val="Hps"/>
        </w:rPr>
        <w:t>et cinquante</w:t>
      </w:r>
      <w:r>
        <w:t xml:space="preserve">, </w:t>
      </w:r>
      <w:r>
        <w:rPr>
          <w:rStyle w:val="Hps"/>
        </w:rPr>
        <w:t>d'une part,</w:t>
      </w:r>
      <w:r>
        <w:t xml:space="preserve"> </w:t>
      </w:r>
      <w:r>
        <w:rPr>
          <w:rStyle w:val="Hps"/>
        </w:rPr>
        <w:t>«le</w:t>
      </w:r>
      <w:r>
        <w:t xml:space="preserve"> </w:t>
      </w:r>
      <w:r>
        <w:rPr>
          <w:rStyle w:val="Hps"/>
        </w:rPr>
        <w:t>mouvement pour la paix</w:t>
      </w:r>
      <w:r>
        <w:t> »</w:t>
      </w:r>
      <w:r>
        <w:rPr>
          <w:rStyle w:val="Caratteredellanota"/>
        </w:rPr>
        <w:footnoteReference w:id="10"/>
      </w:r>
      <w:r>
        <w:t xml:space="preserve"> </w:t>
      </w:r>
      <w:r>
        <w:rPr>
          <w:rStyle w:val="Hps"/>
        </w:rPr>
        <w:t>avait révélé</w:t>
      </w:r>
      <w:r>
        <w:t xml:space="preserve"> </w:t>
      </w:r>
      <w:r>
        <w:rPr>
          <w:rStyle w:val="Hps"/>
        </w:rPr>
        <w:t>ce qui devenait</w:t>
      </w:r>
      <w:r>
        <w:t xml:space="preserve"> </w:t>
      </w:r>
      <w:r>
        <w:rPr>
          <w:rStyle w:val="Hps"/>
        </w:rPr>
        <w:t xml:space="preserve">un </w:t>
      </w:r>
    </w:p>
    <w:p w:rsidR="0046662B" w:rsidRDefault="00BD4B6A">
      <w:pPr>
        <w:spacing w:line="360" w:lineRule="auto"/>
        <w:jc w:val="both"/>
      </w:pPr>
      <w:r>
        <w:rPr>
          <w:rStyle w:val="Hps"/>
        </w:rPr>
        <w:t>véritable «</w:t>
      </w:r>
      <w:r>
        <w:t xml:space="preserve">parti de la paix", composé </w:t>
      </w:r>
      <w:r>
        <w:rPr>
          <w:rStyle w:val="Hps"/>
        </w:rPr>
        <w:t>par un</w:t>
      </w:r>
      <w:r>
        <w:t xml:space="preserve"> </w:t>
      </w:r>
      <w:r>
        <w:rPr>
          <w:rStyle w:val="Hps"/>
        </w:rPr>
        <w:t>certain nombre d'organisations</w:t>
      </w:r>
      <w:r>
        <w:t>, pour la p</w:t>
      </w:r>
      <w:r>
        <w:t>lupart</w:t>
      </w:r>
      <w:r>
        <w:rPr>
          <w:rStyle w:val="Hps"/>
        </w:rPr>
        <w:t xml:space="preserve"> anglaises</w:t>
      </w:r>
      <w:r>
        <w:t xml:space="preserve">, </w:t>
      </w:r>
      <w:r>
        <w:rPr>
          <w:rStyle w:val="Hps"/>
        </w:rPr>
        <w:t>américaines du Nord</w:t>
      </w:r>
      <w:r>
        <w:t xml:space="preserve"> </w:t>
      </w:r>
      <w:r>
        <w:rPr>
          <w:rStyle w:val="Hps"/>
        </w:rPr>
        <w:t>et</w:t>
      </w:r>
      <w:r>
        <w:t xml:space="preserve"> </w:t>
      </w:r>
      <w:r>
        <w:rPr>
          <w:rStyle w:val="Hps"/>
        </w:rPr>
        <w:t>françaises,</w:t>
      </w:r>
      <w:r>
        <w:t xml:space="preserve"> </w:t>
      </w:r>
      <w:r>
        <w:rPr>
          <w:rStyle w:val="Hps"/>
        </w:rPr>
        <w:t>qui avait formé un</w:t>
      </w:r>
      <w:r>
        <w:t xml:space="preserve"> </w:t>
      </w:r>
      <w:r>
        <w:rPr>
          <w:rStyle w:val="Hps"/>
        </w:rPr>
        <w:t>espace public transnational</w:t>
      </w:r>
      <w:r>
        <w:t xml:space="preserve">, idéologique, </w:t>
      </w:r>
      <w:r>
        <w:rPr>
          <w:rStyle w:val="Hps"/>
        </w:rPr>
        <w:t>économique et culturel</w:t>
      </w:r>
      <w:r>
        <w:t xml:space="preserve"> </w:t>
      </w:r>
      <w:r>
        <w:rPr>
          <w:rStyle w:val="Hps"/>
        </w:rPr>
        <w:t>intégrant les</w:t>
      </w:r>
      <w:r>
        <w:t xml:space="preserve"> </w:t>
      </w:r>
      <w:r>
        <w:rPr>
          <w:rStyle w:val="Hps"/>
        </w:rPr>
        <w:t>principes fondamentaux de la</w:t>
      </w:r>
      <w:r>
        <w:t xml:space="preserve"> </w:t>
      </w:r>
      <w:r>
        <w:rPr>
          <w:rStyle w:val="Hps"/>
        </w:rPr>
        <w:t>«</w:t>
      </w:r>
      <w:r>
        <w:t xml:space="preserve">paix perpétuelle </w:t>
      </w:r>
      <w:r>
        <w:rPr>
          <w:rStyle w:val="Hps"/>
        </w:rPr>
        <w:t>de Kant</w:t>
      </w:r>
      <w:r>
        <w:t xml:space="preserve">» et en exhortant </w:t>
      </w:r>
      <w:r>
        <w:rPr>
          <w:rStyle w:val="Hps"/>
        </w:rPr>
        <w:t>les gouvernements européens</w:t>
      </w:r>
      <w:r>
        <w:t xml:space="preserve"> </w:t>
      </w:r>
      <w:r>
        <w:rPr>
          <w:rStyle w:val="Hps"/>
        </w:rPr>
        <w:t xml:space="preserve">avec </w:t>
      </w:r>
      <w:r>
        <w:rPr>
          <w:rStyle w:val="Hps"/>
        </w:rPr>
        <w:t>impatience</w:t>
      </w:r>
      <w:r>
        <w:rPr>
          <w:rStyle w:val="Rimandonotaapidipagina1"/>
        </w:rPr>
        <w:footnoteReference w:id="11"/>
      </w:r>
      <w:r>
        <w:t xml:space="preserve">. </w:t>
      </w:r>
    </w:p>
    <w:p w:rsidR="0046662B" w:rsidRDefault="00BD4B6A">
      <w:pPr>
        <w:spacing w:line="360" w:lineRule="auto"/>
        <w:jc w:val="both"/>
      </w:pPr>
      <w:r>
        <w:rPr>
          <w:rStyle w:val="Hps"/>
        </w:rPr>
        <w:t>D'autre part</w:t>
      </w:r>
      <w:r>
        <w:t xml:space="preserve">, </w:t>
      </w:r>
      <w:r>
        <w:rPr>
          <w:rStyle w:val="Hps"/>
        </w:rPr>
        <w:t>le rapport entre</w:t>
      </w:r>
      <w:r>
        <w:t xml:space="preserve"> </w:t>
      </w:r>
      <w:r>
        <w:rPr>
          <w:rStyle w:val="Hps"/>
        </w:rPr>
        <w:t>le mouvement</w:t>
      </w:r>
      <w:r>
        <w:t xml:space="preserve">, </w:t>
      </w:r>
      <w:r>
        <w:rPr>
          <w:rStyle w:val="Hps"/>
        </w:rPr>
        <w:t>consolidée</w:t>
      </w:r>
      <w:r>
        <w:t xml:space="preserve"> </w:t>
      </w:r>
      <w:r>
        <w:rPr>
          <w:rStyle w:val="Hps"/>
        </w:rPr>
        <w:t>grâce à la diffusion</w:t>
      </w:r>
      <w:r>
        <w:t xml:space="preserve"> </w:t>
      </w:r>
      <w:r>
        <w:rPr>
          <w:rStyle w:val="Hps"/>
        </w:rPr>
        <w:t>des Sociétés de</w:t>
      </w:r>
      <w:r>
        <w:t xml:space="preserve"> </w:t>
      </w:r>
      <w:r>
        <w:rPr>
          <w:rStyle w:val="Hps"/>
        </w:rPr>
        <w:t>la paix</w:t>
      </w:r>
      <w:r>
        <w:t xml:space="preserve"> </w:t>
      </w:r>
      <w:r>
        <w:rPr>
          <w:rStyle w:val="Hps"/>
        </w:rPr>
        <w:t>aux Etats-</w:t>
      </w:r>
      <w:r>
        <w:t xml:space="preserve">Unis et Grande-Bretagne, </w:t>
      </w:r>
      <w:r>
        <w:rPr>
          <w:rStyle w:val="Hps"/>
        </w:rPr>
        <w:t>et les regroupements internationaux</w:t>
      </w:r>
      <w:r>
        <w:t xml:space="preserve"> </w:t>
      </w:r>
      <w:r>
        <w:rPr>
          <w:rStyle w:val="Hps"/>
        </w:rPr>
        <w:t>d'«experts</w:t>
      </w:r>
      <w:r>
        <w:t>»</w:t>
      </w:r>
      <w:r>
        <w:rPr>
          <w:rStyle w:val="Hps"/>
        </w:rPr>
        <w:t xml:space="preserve"> renforceront le soutien</w:t>
      </w:r>
      <w:r>
        <w:t xml:space="preserve"> </w:t>
      </w:r>
      <w:r>
        <w:rPr>
          <w:rStyle w:val="Hps"/>
        </w:rPr>
        <w:t>politique en faveur de</w:t>
      </w:r>
      <w:r>
        <w:t xml:space="preserve"> </w:t>
      </w:r>
      <w:r>
        <w:rPr>
          <w:rStyle w:val="Hps"/>
        </w:rPr>
        <w:t>l'</w:t>
      </w:r>
      <w:r>
        <w:rPr>
          <w:rStyle w:val="Hps"/>
        </w:rPr>
        <w:t>utilisation</w:t>
      </w:r>
      <w:r>
        <w:t xml:space="preserve"> </w:t>
      </w:r>
      <w:r>
        <w:rPr>
          <w:rStyle w:val="Hps"/>
        </w:rPr>
        <w:t>de l'instrument-arbitrage international,</w:t>
      </w:r>
      <w:r>
        <w:t xml:space="preserve"> en </w:t>
      </w:r>
      <w:r>
        <w:rPr>
          <w:rStyle w:val="Hps"/>
        </w:rPr>
        <w:t>rendant plus structurée</w:t>
      </w:r>
      <w:r>
        <w:t xml:space="preserve"> </w:t>
      </w:r>
      <w:r>
        <w:rPr>
          <w:rStyle w:val="Hps"/>
        </w:rPr>
        <w:t>une future Cour</w:t>
      </w:r>
      <w:r>
        <w:t xml:space="preserve"> internationale</w:t>
      </w:r>
      <w:r>
        <w:rPr>
          <w:rStyle w:val="Rimandonotaapidipagina1"/>
        </w:rPr>
        <w:footnoteReference w:id="12"/>
      </w:r>
      <w:r>
        <w:t>.</w:t>
      </w:r>
    </w:p>
    <w:p w:rsidR="0046662B" w:rsidRDefault="00BD4B6A">
      <w:pPr>
        <w:spacing w:line="360" w:lineRule="auto"/>
        <w:jc w:val="both"/>
      </w:pPr>
      <w:r>
        <w:rPr>
          <w:rStyle w:val="Hps"/>
        </w:rPr>
        <w:t>Au cours de</w:t>
      </w:r>
      <w:r>
        <w:t xml:space="preserve"> </w:t>
      </w:r>
      <w:r>
        <w:rPr>
          <w:rStyle w:val="Hps"/>
        </w:rPr>
        <w:t>la Convention</w:t>
      </w:r>
      <w:r>
        <w:t xml:space="preserve"> </w:t>
      </w:r>
      <w:r>
        <w:rPr>
          <w:rStyle w:val="Hps"/>
        </w:rPr>
        <w:t>de la paix</w:t>
      </w:r>
      <w:r>
        <w:t xml:space="preserve"> </w:t>
      </w:r>
      <w:r>
        <w:rPr>
          <w:rStyle w:val="Hps"/>
        </w:rPr>
        <w:t>générale</w:t>
      </w:r>
      <w:r>
        <w:t xml:space="preserve"> </w:t>
      </w:r>
      <w:r>
        <w:rPr>
          <w:rStyle w:val="Hps"/>
        </w:rPr>
        <w:t>à Londres en 1843</w:t>
      </w:r>
      <w:r>
        <w:t xml:space="preserve">, </w:t>
      </w:r>
      <w:r>
        <w:rPr>
          <w:rStyle w:val="Hps"/>
        </w:rPr>
        <w:t>l’Assemblée a été promue</w:t>
      </w:r>
      <w:r>
        <w:t xml:space="preserve"> </w:t>
      </w:r>
      <w:r>
        <w:rPr>
          <w:rStyle w:val="Hps"/>
        </w:rPr>
        <w:t>une résolution</w:t>
      </w:r>
      <w:r>
        <w:t xml:space="preserve"> </w:t>
      </w:r>
      <w:r>
        <w:rPr>
          <w:rStyle w:val="Hps"/>
        </w:rPr>
        <w:t>appelant à la création</w:t>
      </w:r>
      <w:r>
        <w:t xml:space="preserve"> </w:t>
      </w:r>
      <w:r>
        <w:rPr>
          <w:rStyle w:val="Hps"/>
        </w:rPr>
        <w:t>d'une Cour supr</w:t>
      </w:r>
      <w:r>
        <w:rPr>
          <w:rStyle w:val="Hps"/>
        </w:rPr>
        <w:t>ême</w:t>
      </w:r>
      <w:r>
        <w:t xml:space="preserve"> </w:t>
      </w:r>
      <w:r>
        <w:rPr>
          <w:rStyle w:val="Hps"/>
        </w:rPr>
        <w:t>d'arbitrage</w:t>
      </w:r>
      <w:r>
        <w:rPr>
          <w:rStyle w:val="Rimandonotaapidipagina2"/>
        </w:rPr>
        <w:footnoteReference w:id="13"/>
      </w:r>
      <w:r>
        <w:rPr>
          <w:rStyle w:val="Hps"/>
        </w:rPr>
        <w:t xml:space="preserve"> et,</w:t>
      </w:r>
      <w:r>
        <w:t xml:space="preserve"> </w:t>
      </w:r>
      <w:r>
        <w:rPr>
          <w:rStyle w:val="Hps"/>
        </w:rPr>
        <w:t>plus tard,</w:t>
      </w:r>
      <w:r>
        <w:t xml:space="preserve"> </w:t>
      </w:r>
      <w:r>
        <w:rPr>
          <w:rStyle w:val="Hps"/>
        </w:rPr>
        <w:t>pendant les</w:t>
      </w:r>
      <w:r>
        <w:t xml:space="preserve"> </w:t>
      </w:r>
      <w:r>
        <w:rPr>
          <w:rStyle w:val="Hps"/>
        </w:rPr>
        <w:t>conférences de paix</w:t>
      </w:r>
      <w:r>
        <w:t xml:space="preserve"> </w:t>
      </w:r>
      <w:r>
        <w:rPr>
          <w:rStyle w:val="Hps"/>
        </w:rPr>
        <w:t>à Bruxelles et Paris</w:t>
      </w:r>
      <w:r>
        <w:t xml:space="preserve">, respectivement </w:t>
      </w:r>
      <w:r>
        <w:rPr>
          <w:rStyle w:val="Hps"/>
        </w:rPr>
        <w:t>en 1848</w:t>
      </w:r>
      <w:r>
        <w:t xml:space="preserve"> </w:t>
      </w:r>
      <w:r>
        <w:rPr>
          <w:rStyle w:val="Hps"/>
        </w:rPr>
        <w:t>et 1849</w:t>
      </w:r>
      <w:r>
        <w:rPr>
          <w:rStyle w:val="Rimandonotaapidipagina2"/>
        </w:rPr>
        <w:footnoteReference w:id="14"/>
      </w:r>
      <w:r>
        <w:t xml:space="preserve">, et de nouveau pendant </w:t>
      </w:r>
      <w:r>
        <w:rPr>
          <w:rStyle w:val="Hps"/>
        </w:rPr>
        <w:t>celles</w:t>
      </w:r>
      <w:r>
        <w:t xml:space="preserve"> </w:t>
      </w:r>
      <w:r>
        <w:rPr>
          <w:rStyle w:val="Hps"/>
        </w:rPr>
        <w:t>de Francfort</w:t>
      </w:r>
      <w:r>
        <w:t xml:space="preserve"> </w:t>
      </w:r>
      <w:r>
        <w:rPr>
          <w:rStyle w:val="Hps"/>
        </w:rPr>
        <w:t>en 1850 et 1851,</w:t>
      </w:r>
      <w:r>
        <w:t xml:space="preserve"> </w:t>
      </w:r>
      <w:r>
        <w:rPr>
          <w:rStyle w:val="Hps"/>
        </w:rPr>
        <w:t>de Londres, de</w:t>
      </w:r>
      <w:r>
        <w:t xml:space="preserve"> </w:t>
      </w:r>
      <w:r>
        <w:rPr>
          <w:rStyle w:val="Hps"/>
        </w:rPr>
        <w:t>Manchester et Edimbourg</w:t>
      </w:r>
      <w:r>
        <w:t xml:space="preserve"> </w:t>
      </w:r>
      <w:r>
        <w:rPr>
          <w:rStyle w:val="Hps"/>
        </w:rPr>
        <w:t>en 1853</w:t>
      </w:r>
      <w:r>
        <w:t>, l’invocation</w:t>
      </w:r>
      <w:r>
        <w:rPr>
          <w:b/>
        </w:rPr>
        <w:t xml:space="preserve"> </w:t>
      </w:r>
      <w:r>
        <w:t xml:space="preserve">à </w:t>
      </w:r>
      <w:r>
        <w:rPr>
          <w:rStyle w:val="Hps"/>
        </w:rPr>
        <w:t>la création</w:t>
      </w:r>
      <w:r>
        <w:t xml:space="preserve"> </w:t>
      </w:r>
      <w:r>
        <w:rPr>
          <w:rStyle w:val="Hps"/>
        </w:rPr>
        <w:t>d'u</w:t>
      </w:r>
      <w:r>
        <w:rPr>
          <w:rStyle w:val="Hps"/>
        </w:rPr>
        <w:t>ne</w:t>
      </w:r>
      <w:r>
        <w:t xml:space="preserve"> </w:t>
      </w:r>
      <w:r>
        <w:rPr>
          <w:rStyle w:val="Hps"/>
        </w:rPr>
        <w:t>haute</w:t>
      </w:r>
      <w:r>
        <w:t xml:space="preserve"> </w:t>
      </w:r>
      <w:r>
        <w:rPr>
          <w:rStyle w:val="Hps"/>
        </w:rPr>
        <w:t>cour internationale</w:t>
      </w:r>
      <w:r>
        <w:t xml:space="preserve"> d’arbitrage </w:t>
      </w:r>
      <w:r>
        <w:rPr>
          <w:rStyle w:val="Hps"/>
        </w:rPr>
        <w:t>est devenu</w:t>
      </w:r>
      <w:r>
        <w:t xml:space="preserve"> </w:t>
      </w:r>
      <w:r>
        <w:rPr>
          <w:rStyle w:val="Hps"/>
        </w:rPr>
        <w:t>incessante</w:t>
      </w:r>
      <w:r>
        <w:rPr>
          <w:rStyle w:val="Rimandonotaapidipagina1"/>
        </w:rPr>
        <w:footnoteReference w:id="15"/>
      </w:r>
      <w:r>
        <w:t xml:space="preserve">. </w:t>
      </w:r>
    </w:p>
    <w:p w:rsidR="0046662B" w:rsidRDefault="00BD4B6A">
      <w:pPr>
        <w:spacing w:line="360" w:lineRule="auto"/>
        <w:jc w:val="both"/>
      </w:pPr>
      <w:r>
        <w:rPr>
          <w:rStyle w:val="Hps"/>
        </w:rPr>
        <w:t>Dans les années cinquante</w:t>
      </w:r>
      <w:r>
        <w:t>, dans lesquelles les plus grands juristes internationaux, comme Bluntschli et Mancini, soutenaient le projet d'un renouvellement scientifique et morale du droit int</w:t>
      </w:r>
      <w:r>
        <w:t xml:space="preserve">ernational, fondé sur la conscience juridique des peuples civilisés et sur le travail d'interprétation de la loi, ce fut </w:t>
      </w:r>
      <w:r>
        <w:rPr>
          <w:rStyle w:val="Hps"/>
        </w:rPr>
        <w:t>relancé</w:t>
      </w:r>
      <w:r>
        <w:t xml:space="preserve"> </w:t>
      </w:r>
      <w:r>
        <w:rPr>
          <w:rStyle w:val="Hps"/>
        </w:rPr>
        <w:t>un débat intense sur</w:t>
      </w:r>
      <w:r>
        <w:t xml:space="preserve"> </w:t>
      </w:r>
      <w:r>
        <w:rPr>
          <w:rStyle w:val="Hps"/>
        </w:rPr>
        <w:t>la justice internationale et</w:t>
      </w:r>
      <w:r>
        <w:t xml:space="preserve"> </w:t>
      </w:r>
      <w:r>
        <w:rPr>
          <w:rStyle w:val="Hps"/>
        </w:rPr>
        <w:t>en particulier</w:t>
      </w:r>
      <w:r>
        <w:t xml:space="preserve"> </w:t>
      </w:r>
      <w:r>
        <w:rPr>
          <w:rStyle w:val="Hps"/>
        </w:rPr>
        <w:t>de son « institutionnalisation ».</w:t>
      </w:r>
    </w:p>
    <w:p w:rsidR="0046662B" w:rsidRDefault="00BD4B6A">
      <w:pPr>
        <w:spacing w:line="360" w:lineRule="auto"/>
        <w:jc w:val="both"/>
      </w:pPr>
      <w:r>
        <w:rPr>
          <w:rStyle w:val="Hps"/>
        </w:rPr>
        <w:t>En outre,</w:t>
      </w:r>
      <w:r>
        <w:t xml:space="preserve"> </w:t>
      </w:r>
      <w:r>
        <w:rPr>
          <w:rStyle w:val="Hps"/>
        </w:rPr>
        <w:t>au-delà de</w:t>
      </w:r>
      <w:r>
        <w:t xml:space="preserve"> </w:t>
      </w:r>
      <w:r>
        <w:rPr>
          <w:rStyle w:val="Hps"/>
        </w:rPr>
        <w:t xml:space="preserve">ces </w:t>
      </w:r>
      <w:r>
        <w:rPr>
          <w:rStyle w:val="Hps"/>
        </w:rPr>
        <w:t>points de vue</w:t>
      </w:r>
      <w:r>
        <w:t xml:space="preserve">, </w:t>
      </w:r>
      <w:r>
        <w:rPr>
          <w:rStyle w:val="Hps"/>
        </w:rPr>
        <w:t>le conflit</w:t>
      </w:r>
      <w:r>
        <w:t xml:space="preserve"> </w:t>
      </w:r>
      <w:r>
        <w:rPr>
          <w:rStyle w:val="Hps"/>
        </w:rPr>
        <w:t>théorique,</w:t>
      </w:r>
      <w:r>
        <w:t xml:space="preserve"> </w:t>
      </w:r>
      <w:r>
        <w:rPr>
          <w:rStyle w:val="Hps"/>
        </w:rPr>
        <w:t>qui était</w:t>
      </w:r>
      <w:r>
        <w:t xml:space="preserve"> </w:t>
      </w:r>
      <w:r>
        <w:rPr>
          <w:rStyle w:val="Hps"/>
        </w:rPr>
        <w:t>en cours</w:t>
      </w:r>
      <w:r>
        <w:t xml:space="preserve"> </w:t>
      </w:r>
      <w:r>
        <w:rPr>
          <w:rStyle w:val="Hps"/>
        </w:rPr>
        <w:t>parmi les intellectuelles, a vu sur des côtés opposées ceux qui ont travaillé</w:t>
      </w:r>
      <w:r>
        <w:t xml:space="preserve"> </w:t>
      </w:r>
      <w:r>
        <w:rPr>
          <w:rStyle w:val="Hps"/>
        </w:rPr>
        <w:t>à la création d'</w:t>
      </w:r>
      <w:r>
        <w:t xml:space="preserve">un cadre législatif et </w:t>
      </w:r>
      <w:r>
        <w:rPr>
          <w:rStyle w:val="Hps"/>
        </w:rPr>
        <w:t>judiciaire</w:t>
      </w:r>
      <w:r>
        <w:t xml:space="preserve"> </w:t>
      </w:r>
      <w:r>
        <w:rPr>
          <w:rStyle w:val="Hps"/>
        </w:rPr>
        <w:t>internationale,</w:t>
      </w:r>
      <w:r>
        <w:t xml:space="preserve"> </w:t>
      </w:r>
      <w:r>
        <w:rPr>
          <w:rStyle w:val="Hps"/>
        </w:rPr>
        <w:t>reconnu par les gouvernements</w:t>
      </w:r>
      <w:r>
        <w:t xml:space="preserve"> </w:t>
      </w:r>
      <w:r>
        <w:rPr>
          <w:rStyle w:val="Hps"/>
        </w:rPr>
        <w:t>et d'autres</w:t>
      </w:r>
      <w:r>
        <w:t xml:space="preserve"> </w:t>
      </w:r>
      <w:r>
        <w:rPr>
          <w:rStyle w:val="Hps"/>
        </w:rPr>
        <w:t>(Francis</w:t>
      </w:r>
      <w:r>
        <w:t xml:space="preserve"> </w:t>
      </w:r>
      <w:r>
        <w:rPr>
          <w:rStyle w:val="Hps"/>
        </w:rPr>
        <w:t>Liebe</w:t>
      </w:r>
      <w:r>
        <w:rPr>
          <w:rStyle w:val="Hps"/>
        </w:rPr>
        <w:t>r</w:t>
      </w:r>
      <w:r>
        <w:t xml:space="preserve"> </w:t>
      </w:r>
      <w:r>
        <w:rPr>
          <w:rStyle w:val="Hps"/>
        </w:rPr>
        <w:t>surtout</w:t>
      </w:r>
      <w:r>
        <w:t xml:space="preserve">) qui, au contraire, </w:t>
      </w:r>
      <w:r>
        <w:rPr>
          <w:rStyle w:val="Hps"/>
        </w:rPr>
        <w:t>pensaient</w:t>
      </w:r>
      <w:r>
        <w:t xml:space="preserve"> </w:t>
      </w:r>
      <w:r>
        <w:rPr>
          <w:rStyle w:val="Hps"/>
        </w:rPr>
        <w:t>que seul le parcours</w:t>
      </w:r>
      <w:r>
        <w:t xml:space="preserve"> </w:t>
      </w:r>
      <w:r>
        <w:rPr>
          <w:rStyle w:val="Hps"/>
        </w:rPr>
        <w:t>commun des États</w:t>
      </w:r>
      <w:r>
        <w:t xml:space="preserve"> </w:t>
      </w:r>
      <w:r>
        <w:rPr>
          <w:rStyle w:val="Hps"/>
        </w:rPr>
        <w:t>vers des formes de développement de</w:t>
      </w:r>
      <w:r>
        <w:t xml:space="preserve"> </w:t>
      </w:r>
      <w:r>
        <w:rPr>
          <w:rStyle w:val="Hps"/>
        </w:rPr>
        <w:t>la société internationale pourrait</w:t>
      </w:r>
      <w:r>
        <w:t xml:space="preserve">, </w:t>
      </w:r>
      <w:r>
        <w:rPr>
          <w:rStyle w:val="Hps"/>
        </w:rPr>
        <w:t>avec le rôle fondamental</w:t>
      </w:r>
      <w:r>
        <w:t xml:space="preserve"> </w:t>
      </w:r>
      <w:r>
        <w:rPr>
          <w:rStyle w:val="Hps"/>
        </w:rPr>
        <w:t>de la diplomatie</w:t>
      </w:r>
      <w:r>
        <w:t xml:space="preserve">, </w:t>
      </w:r>
      <w:r>
        <w:rPr>
          <w:rStyle w:val="Hps"/>
        </w:rPr>
        <w:t>parvenir à</w:t>
      </w:r>
      <w:r>
        <w:t xml:space="preserve"> </w:t>
      </w:r>
      <w:r>
        <w:rPr>
          <w:rStyle w:val="Hps"/>
        </w:rPr>
        <w:t>un univers</w:t>
      </w:r>
      <w:r>
        <w:t xml:space="preserve"> </w:t>
      </w:r>
      <w:r>
        <w:rPr>
          <w:rStyle w:val="Hps"/>
        </w:rPr>
        <w:t>de valeurs "pacifiques"  partagées.</w:t>
      </w:r>
      <w:r>
        <w:t xml:space="preserve"> </w:t>
      </w:r>
    </w:p>
    <w:p w:rsidR="0046662B" w:rsidRDefault="0046662B">
      <w:pPr>
        <w:spacing w:line="360" w:lineRule="auto"/>
        <w:jc w:val="both"/>
        <w:rPr>
          <w:rStyle w:val="Hps"/>
        </w:rPr>
      </w:pPr>
    </w:p>
    <w:p w:rsidR="0046662B" w:rsidRDefault="00BD4B6A">
      <w:pPr>
        <w:spacing w:line="360" w:lineRule="auto"/>
        <w:jc w:val="both"/>
        <w:rPr>
          <w:rStyle w:val="Hps"/>
        </w:rPr>
      </w:pPr>
      <w:r>
        <w:rPr>
          <w:rStyle w:val="Hps"/>
        </w:rPr>
        <w:t>Nou</w:t>
      </w:r>
      <w:r>
        <w:rPr>
          <w:rStyle w:val="Hps"/>
        </w:rPr>
        <w:t>s passons maintenant</w:t>
      </w:r>
      <w:r>
        <w:t xml:space="preserve"> </w:t>
      </w:r>
      <w:r>
        <w:rPr>
          <w:rStyle w:val="Hps"/>
        </w:rPr>
        <w:t>au cas</w:t>
      </w:r>
      <w:r>
        <w:t xml:space="preserve"> </w:t>
      </w:r>
      <w:r>
        <w:rPr>
          <w:rStyle w:val="Hps"/>
        </w:rPr>
        <w:t>du Traité de Washington</w:t>
      </w:r>
      <w:r>
        <w:t xml:space="preserve"> </w:t>
      </w:r>
      <w:r>
        <w:rPr>
          <w:rStyle w:val="Hps"/>
        </w:rPr>
        <w:t>de 1871</w:t>
      </w:r>
      <w:r>
        <w:t xml:space="preserve"> </w:t>
      </w:r>
      <w:r>
        <w:rPr>
          <w:rStyle w:val="Hps"/>
        </w:rPr>
        <w:t>entre les Etats-</w:t>
      </w:r>
      <w:r>
        <w:t>Unis et la Grande-Bretagne (</w:t>
      </w:r>
      <w:r>
        <w:rPr>
          <w:i/>
        </w:rPr>
        <w:t>Alabama Claims</w:t>
      </w:r>
      <w:r>
        <w:t xml:space="preserve">), qui prévoyait </w:t>
      </w:r>
      <w:r>
        <w:rPr>
          <w:rStyle w:val="Hps"/>
        </w:rPr>
        <w:t>des</w:t>
      </w:r>
      <w:r>
        <w:t xml:space="preserve"> </w:t>
      </w:r>
      <w:r>
        <w:rPr>
          <w:rStyle w:val="Hps"/>
        </w:rPr>
        <w:t>indemnités et</w:t>
      </w:r>
      <w:r>
        <w:t xml:space="preserve"> </w:t>
      </w:r>
      <w:r>
        <w:rPr>
          <w:rStyle w:val="Hps"/>
        </w:rPr>
        <w:t>compensations financières</w:t>
      </w:r>
      <w:r>
        <w:t xml:space="preserve"> </w:t>
      </w:r>
      <w:r>
        <w:rPr>
          <w:rStyle w:val="Hps"/>
        </w:rPr>
        <w:t>en faveur de la</w:t>
      </w:r>
      <w:r>
        <w:t xml:space="preserve"> </w:t>
      </w:r>
      <w:r>
        <w:rPr>
          <w:rStyle w:val="Hps"/>
        </w:rPr>
        <w:t>République fédérale</w:t>
      </w:r>
      <w:r>
        <w:t xml:space="preserve"> </w:t>
      </w:r>
      <w:r>
        <w:rPr>
          <w:rStyle w:val="Hps"/>
        </w:rPr>
        <w:t>américaine</w:t>
      </w:r>
      <w:r>
        <w:rPr>
          <w:rStyle w:val="Rimandonotaapidipagina1"/>
        </w:rPr>
        <w:footnoteReference w:id="16"/>
      </w:r>
      <w:r>
        <w:t xml:space="preserve">. </w:t>
      </w:r>
      <w:r>
        <w:rPr>
          <w:rStyle w:val="Hps"/>
        </w:rPr>
        <w:t>Pour donner effet à</w:t>
      </w:r>
      <w:r>
        <w:t xml:space="preserve"> </w:t>
      </w:r>
      <w:r>
        <w:rPr>
          <w:rStyle w:val="Hps"/>
        </w:rPr>
        <w:t>la conve</w:t>
      </w:r>
      <w:r>
        <w:rPr>
          <w:rStyle w:val="Hps"/>
        </w:rPr>
        <w:t>ntion</w:t>
      </w:r>
      <w:r>
        <w:t xml:space="preserve">, il a été </w:t>
      </w:r>
      <w:r>
        <w:rPr>
          <w:rStyle w:val="Hps"/>
        </w:rPr>
        <w:t>convenu de la</w:t>
      </w:r>
      <w:r>
        <w:t xml:space="preserve"> </w:t>
      </w:r>
      <w:r>
        <w:rPr>
          <w:rStyle w:val="Hps"/>
        </w:rPr>
        <w:t>création d'une</w:t>
      </w:r>
      <w:r>
        <w:t xml:space="preserve"> </w:t>
      </w:r>
      <w:r>
        <w:rPr>
          <w:rStyle w:val="Hps"/>
        </w:rPr>
        <w:t>Cour d'arbitrage,</w:t>
      </w:r>
      <w:r>
        <w:t xml:space="preserve"> </w:t>
      </w:r>
      <w:r>
        <w:rPr>
          <w:rStyle w:val="Hps"/>
        </w:rPr>
        <w:t>basée à Genève,</w:t>
      </w:r>
      <w:r>
        <w:t xml:space="preserve"> </w:t>
      </w:r>
      <w:r>
        <w:rPr>
          <w:rStyle w:val="Hps"/>
        </w:rPr>
        <w:t>composée de cinq</w:t>
      </w:r>
      <w:r>
        <w:t xml:space="preserve"> </w:t>
      </w:r>
      <w:r>
        <w:rPr>
          <w:rStyle w:val="Hps"/>
        </w:rPr>
        <w:t>membres nommés par le</w:t>
      </w:r>
      <w:r>
        <w:t xml:space="preserve"> </w:t>
      </w:r>
      <w:r>
        <w:rPr>
          <w:rStyle w:val="Hps"/>
        </w:rPr>
        <w:t>Président des Etats</w:t>
      </w:r>
      <w:r>
        <w:t xml:space="preserve">-Unis, </w:t>
      </w:r>
      <w:r>
        <w:rPr>
          <w:rStyle w:val="Hps"/>
        </w:rPr>
        <w:t>la reine d'</w:t>
      </w:r>
      <w:r>
        <w:t xml:space="preserve">Angleterre, le roi </w:t>
      </w:r>
      <w:r>
        <w:rPr>
          <w:rStyle w:val="Hps"/>
        </w:rPr>
        <w:t>d'Italie, le</w:t>
      </w:r>
      <w:r>
        <w:t xml:space="preserve"> </w:t>
      </w:r>
      <w:r>
        <w:rPr>
          <w:rStyle w:val="Hps"/>
        </w:rPr>
        <w:t>président de la Confédération</w:t>
      </w:r>
      <w:r>
        <w:t xml:space="preserve"> </w:t>
      </w:r>
      <w:r>
        <w:rPr>
          <w:rStyle w:val="Hps"/>
        </w:rPr>
        <w:t>la Suisse et</w:t>
      </w:r>
      <w:r>
        <w:t xml:space="preserve"> </w:t>
      </w:r>
      <w:r>
        <w:rPr>
          <w:rStyle w:val="Hps"/>
        </w:rPr>
        <w:t>l'empereur du Brésil</w:t>
      </w:r>
      <w:r>
        <w:rPr>
          <w:rStyle w:val="Caratteredellanota"/>
        </w:rPr>
        <w:footnoteReference w:id="17"/>
      </w:r>
      <w:r>
        <w:t>. (</w:t>
      </w:r>
      <w:r>
        <w:rPr>
          <w:rStyle w:val="Hps"/>
        </w:rPr>
        <w:t xml:space="preserve">À </w:t>
      </w:r>
      <w:r>
        <w:rPr>
          <w:rStyle w:val="Hps"/>
        </w:rPr>
        <w:t>cet égard</w:t>
      </w:r>
      <w:r>
        <w:t xml:space="preserve">, il a été </w:t>
      </w:r>
      <w:r>
        <w:rPr>
          <w:rStyle w:val="Hps"/>
        </w:rPr>
        <w:t>précieux</w:t>
      </w:r>
      <w:r>
        <w:t xml:space="preserve">, à la demande </w:t>
      </w:r>
      <w:r>
        <w:rPr>
          <w:rStyle w:val="Hps"/>
        </w:rPr>
        <w:t>de Francis Lieber</w:t>
      </w:r>
      <w:r>
        <w:t xml:space="preserve">, </w:t>
      </w:r>
      <w:r>
        <w:rPr>
          <w:rStyle w:val="Hps"/>
        </w:rPr>
        <w:t>un juriste allemand</w:t>
      </w:r>
      <w:r>
        <w:t xml:space="preserve">, </w:t>
      </w:r>
      <w:r>
        <w:rPr>
          <w:rStyle w:val="Hps"/>
        </w:rPr>
        <w:t>Johann Kaspar</w:t>
      </w:r>
      <w:r>
        <w:t xml:space="preserve"> </w:t>
      </w:r>
      <w:r>
        <w:rPr>
          <w:rStyle w:val="Hps"/>
        </w:rPr>
        <w:t>Bluntschli)</w:t>
      </w:r>
      <w:r>
        <w:t xml:space="preserve">. </w:t>
      </w:r>
      <w:r>
        <w:rPr>
          <w:rStyle w:val="Hps"/>
        </w:rPr>
        <w:t>Dans les années soixante-dix, selon Bluntschli, le droit international était un puissant moyen de civilisation, capable de libérer les hommes de l</w:t>
      </w:r>
      <w:r>
        <w:rPr>
          <w:rStyle w:val="Hps"/>
        </w:rPr>
        <w:t>a barbarie et de la violence, et de les conduire à la réalisation d'une complet unité juridique de l'humanité.</w:t>
      </w:r>
    </w:p>
    <w:p w:rsidR="0046662B" w:rsidRDefault="00BD4B6A">
      <w:pPr>
        <w:spacing w:line="360" w:lineRule="auto"/>
        <w:jc w:val="both"/>
      </w:pPr>
      <w:r>
        <w:rPr>
          <w:rStyle w:val="Hps"/>
        </w:rPr>
        <w:t>Au cours de débat théorique, par des juristes « internationalistes », sur le principe du « droit à intervenir »</w:t>
      </w:r>
      <w:r>
        <w:rPr>
          <w:rStyle w:val="Rimandonotaapidipagina1"/>
        </w:rPr>
        <w:footnoteReference w:id="18"/>
      </w:r>
      <w:r>
        <w:rPr>
          <w:rStyle w:val="Hps"/>
        </w:rPr>
        <w:t>, le tribunal arbitral de Genève</w:t>
      </w:r>
      <w:r>
        <w:t xml:space="preserve"> </w:t>
      </w:r>
      <w:r>
        <w:rPr>
          <w:rStyle w:val="Hps"/>
        </w:rPr>
        <w:t>montra</w:t>
      </w:r>
      <w:r>
        <w:t xml:space="preserve"> </w:t>
      </w:r>
      <w:r>
        <w:rPr>
          <w:rStyle w:val="Hps"/>
        </w:rPr>
        <w:t>aux gouvernements européens</w:t>
      </w:r>
      <w:r>
        <w:t xml:space="preserve">, </w:t>
      </w:r>
      <w:r>
        <w:rPr>
          <w:rStyle w:val="Hps"/>
        </w:rPr>
        <w:t>qu'il pourrait y avoir</w:t>
      </w:r>
      <w:r>
        <w:t xml:space="preserve"> </w:t>
      </w:r>
      <w:r>
        <w:rPr>
          <w:rStyle w:val="Hps"/>
        </w:rPr>
        <w:t>une certaine forme de</w:t>
      </w:r>
      <w:r>
        <w:t xml:space="preserve"> </w:t>
      </w:r>
      <w:r>
        <w:rPr>
          <w:rStyle w:val="Hps"/>
        </w:rPr>
        <w:t>résolution</w:t>
      </w:r>
      <w:r>
        <w:t xml:space="preserve"> </w:t>
      </w:r>
      <w:r>
        <w:rPr>
          <w:rStyle w:val="Hps"/>
        </w:rPr>
        <w:t>efficace des différends entre</w:t>
      </w:r>
      <w:r>
        <w:t xml:space="preserve"> </w:t>
      </w:r>
      <w:r>
        <w:rPr>
          <w:rStyle w:val="Hps"/>
        </w:rPr>
        <w:t>États</w:t>
      </w:r>
      <w:r>
        <w:t xml:space="preserve">, </w:t>
      </w:r>
      <w:r>
        <w:rPr>
          <w:rStyle w:val="Hps"/>
        </w:rPr>
        <w:t xml:space="preserve">centrée </w:t>
      </w:r>
      <w:r>
        <w:t xml:space="preserve">autour </w:t>
      </w:r>
      <w:r>
        <w:rPr>
          <w:rStyle w:val="Hps"/>
        </w:rPr>
        <w:t>des «institutions»</w:t>
      </w:r>
      <w:r>
        <w:t xml:space="preserve">, ne pas </w:t>
      </w:r>
      <w:r>
        <w:rPr>
          <w:rStyle w:val="Hps"/>
        </w:rPr>
        <w:t>formalisé</w:t>
      </w:r>
      <w:r>
        <w:t xml:space="preserve">, comme l'arbitrage, de sorte que </w:t>
      </w:r>
      <w:r>
        <w:rPr>
          <w:rStyle w:val="Hps"/>
        </w:rPr>
        <w:t>le succès de la</w:t>
      </w:r>
      <w:r>
        <w:t xml:space="preserve"> </w:t>
      </w:r>
      <w:r>
        <w:rPr>
          <w:rStyle w:val="Hps"/>
        </w:rPr>
        <w:t xml:space="preserve">Cour arbitral de Genève a </w:t>
      </w:r>
      <w:r>
        <w:rPr>
          <w:rStyle w:val="Hps"/>
        </w:rPr>
        <w:t>donné</w:t>
      </w:r>
      <w:r>
        <w:t xml:space="preserve"> </w:t>
      </w:r>
      <w:r>
        <w:rPr>
          <w:rStyle w:val="Hps"/>
        </w:rPr>
        <w:t>une impulsion à</w:t>
      </w:r>
      <w:r>
        <w:t xml:space="preserve"> </w:t>
      </w:r>
      <w:r>
        <w:rPr>
          <w:rStyle w:val="Hps"/>
        </w:rPr>
        <w:t>la «redécouverte».</w:t>
      </w:r>
      <w:r>
        <w:t xml:space="preserve"> </w:t>
      </w:r>
    </w:p>
    <w:p w:rsidR="0046662B" w:rsidRDefault="00BD4B6A">
      <w:pPr>
        <w:spacing w:line="360" w:lineRule="auto"/>
        <w:jc w:val="both"/>
      </w:pPr>
      <w:r>
        <w:t xml:space="preserve">Augusto </w:t>
      </w:r>
      <w:r>
        <w:rPr>
          <w:rStyle w:val="Hps"/>
        </w:rPr>
        <w:t xml:space="preserve">Pierantoni </w:t>
      </w:r>
      <w:r>
        <w:t xml:space="preserve">définit, </w:t>
      </w:r>
      <w:r>
        <w:rPr>
          <w:rStyle w:val="Hps"/>
        </w:rPr>
        <w:t>en effet,</w:t>
      </w:r>
      <w:r>
        <w:t xml:space="preserve"> </w:t>
      </w:r>
      <w:r>
        <w:rPr>
          <w:rStyle w:val="Hps"/>
        </w:rPr>
        <w:t>le Traité de Washington</w:t>
      </w:r>
      <w:r>
        <w:t xml:space="preserve"> « le triomphe </w:t>
      </w:r>
      <w:r>
        <w:rPr>
          <w:rStyle w:val="Hps"/>
        </w:rPr>
        <w:t>de l'arbitrage dans</w:t>
      </w:r>
      <w:r>
        <w:t xml:space="preserve"> </w:t>
      </w:r>
      <w:r>
        <w:rPr>
          <w:rStyle w:val="Hps"/>
        </w:rPr>
        <w:t>la jurisprudence</w:t>
      </w:r>
      <w:r>
        <w:t xml:space="preserve"> </w:t>
      </w:r>
      <w:r>
        <w:rPr>
          <w:rStyle w:val="Hps"/>
        </w:rPr>
        <w:t>du droit international,</w:t>
      </w:r>
      <w:r>
        <w:rPr>
          <w:rStyle w:val="Caratteredellanota"/>
        </w:rPr>
        <w:t xml:space="preserve"> </w:t>
      </w:r>
      <w:r>
        <w:rPr>
          <w:rStyle w:val="Hps"/>
        </w:rPr>
        <w:t>forme de justice  la plus répandue</w:t>
      </w:r>
      <w:r>
        <w:t xml:space="preserve"> dans les </w:t>
      </w:r>
      <w:r>
        <w:rPr>
          <w:rStyle w:val="Hps"/>
        </w:rPr>
        <w:t>ordres</w:t>
      </w:r>
      <w:r>
        <w:t xml:space="preserve"> </w:t>
      </w:r>
      <w:r>
        <w:rPr>
          <w:rStyle w:val="Hps"/>
        </w:rPr>
        <w:t>diplomatiques (il parle en</w:t>
      </w:r>
      <w:r>
        <w:rPr>
          <w:rStyle w:val="Hps"/>
        </w:rPr>
        <w:t>core de ordres diplomatiques)»</w:t>
      </w:r>
      <w:r>
        <w:rPr>
          <w:rStyle w:val="Rimandonotaapidipagina1"/>
        </w:rPr>
        <w:footnoteReference w:id="19"/>
      </w:r>
      <w:r>
        <w:t xml:space="preserve">. </w:t>
      </w:r>
    </w:p>
    <w:p w:rsidR="0046662B" w:rsidRDefault="00BD4B6A">
      <w:pPr>
        <w:spacing w:line="360" w:lineRule="auto"/>
        <w:jc w:val="both"/>
      </w:pPr>
      <w:r>
        <w:rPr>
          <w:rStyle w:val="Hps"/>
        </w:rPr>
        <w:t>L'année suivante,</w:t>
      </w:r>
      <w:r>
        <w:t xml:space="preserve"> </w:t>
      </w:r>
      <w:r>
        <w:rPr>
          <w:rStyle w:val="Hps"/>
        </w:rPr>
        <w:t>en 1872</w:t>
      </w:r>
      <w:r>
        <w:t xml:space="preserve">, </w:t>
      </w:r>
      <w:r>
        <w:rPr>
          <w:rStyle w:val="Hps"/>
        </w:rPr>
        <w:t>lors de la Conférence</w:t>
      </w:r>
      <w:r>
        <w:t xml:space="preserve"> </w:t>
      </w:r>
      <w:r>
        <w:rPr>
          <w:rStyle w:val="Hps"/>
        </w:rPr>
        <w:t>pour la paix universelle</w:t>
      </w:r>
      <w:r>
        <w:t xml:space="preserve">, qui s'est tenue </w:t>
      </w:r>
      <w:r>
        <w:rPr>
          <w:rStyle w:val="Hps"/>
        </w:rPr>
        <w:t>à Genève</w:t>
      </w:r>
      <w:r>
        <w:t xml:space="preserve">, peut-être </w:t>
      </w:r>
      <w:r>
        <w:rPr>
          <w:rStyle w:val="Hps"/>
        </w:rPr>
        <w:t>dans l’enthousiasme de</w:t>
      </w:r>
      <w:r>
        <w:t xml:space="preserve"> </w:t>
      </w:r>
      <w:r>
        <w:rPr>
          <w:rStyle w:val="Hps"/>
        </w:rPr>
        <w:t>ce nouveau climat,</w:t>
      </w:r>
      <w:r>
        <w:t xml:space="preserve"> </w:t>
      </w:r>
      <w:r>
        <w:rPr>
          <w:rStyle w:val="Hps"/>
        </w:rPr>
        <w:t>Gustave</w:t>
      </w:r>
      <w:r>
        <w:t xml:space="preserve"> </w:t>
      </w:r>
      <w:r>
        <w:rPr>
          <w:rStyle w:val="Hps"/>
        </w:rPr>
        <w:t>Moynier, l'un</w:t>
      </w:r>
      <w:r>
        <w:t xml:space="preserve"> </w:t>
      </w:r>
      <w:r>
        <w:rPr>
          <w:rStyle w:val="Hps"/>
        </w:rPr>
        <w:t>des fondateurs de</w:t>
      </w:r>
      <w:r>
        <w:t xml:space="preserve"> </w:t>
      </w:r>
      <w:r>
        <w:rPr>
          <w:rStyle w:val="Hps"/>
        </w:rPr>
        <w:t>la Croix-Rouge</w:t>
      </w:r>
      <w:r>
        <w:t xml:space="preserve">, retourna </w:t>
      </w:r>
      <w:r>
        <w:rPr>
          <w:rStyle w:val="Hps"/>
        </w:rPr>
        <w:t xml:space="preserve">à </w:t>
      </w:r>
      <w:r>
        <w:rPr>
          <w:rStyle w:val="Hps"/>
        </w:rPr>
        <w:t>proposer, avec</w:t>
      </w:r>
      <w:r>
        <w:t xml:space="preserve"> </w:t>
      </w:r>
      <w:r>
        <w:rPr>
          <w:rStyle w:val="Hps"/>
        </w:rPr>
        <w:t>vigueur</w:t>
      </w:r>
      <w:r>
        <w:t xml:space="preserve">, </w:t>
      </w:r>
      <w:r>
        <w:rPr>
          <w:rStyle w:val="Hps"/>
        </w:rPr>
        <w:t>la mise en place</w:t>
      </w:r>
      <w:r>
        <w:t xml:space="preserve"> </w:t>
      </w:r>
      <w:r>
        <w:rPr>
          <w:rStyle w:val="Hps"/>
        </w:rPr>
        <w:t>d'un</w:t>
      </w:r>
      <w:r>
        <w:t xml:space="preserve"> </w:t>
      </w:r>
      <w:r>
        <w:rPr>
          <w:rStyle w:val="Hps"/>
        </w:rPr>
        <w:t>Cour pénale internationale,</w:t>
      </w:r>
      <w:r>
        <w:t xml:space="preserve"> </w:t>
      </w:r>
      <w:r>
        <w:rPr>
          <w:rStyle w:val="Hps"/>
        </w:rPr>
        <w:t>qui sanctionnât</w:t>
      </w:r>
      <w:r>
        <w:t xml:space="preserve"> </w:t>
      </w:r>
      <w:r>
        <w:rPr>
          <w:rStyle w:val="Hps"/>
        </w:rPr>
        <w:t>les Etats, qui eussent violé les</w:t>
      </w:r>
      <w:r>
        <w:t xml:space="preserve"> </w:t>
      </w:r>
      <w:r>
        <w:rPr>
          <w:rStyle w:val="Hps"/>
        </w:rPr>
        <w:t>résolutions adoptées par</w:t>
      </w:r>
      <w:r>
        <w:t xml:space="preserve"> </w:t>
      </w:r>
      <w:r>
        <w:rPr>
          <w:rStyle w:val="Hps"/>
        </w:rPr>
        <w:t>la « Convention</w:t>
      </w:r>
      <w:r>
        <w:t xml:space="preserve"> </w:t>
      </w:r>
      <w:r>
        <w:rPr>
          <w:rStyle w:val="Hps"/>
        </w:rPr>
        <w:t>pour l'amélioration</w:t>
      </w:r>
      <w:r>
        <w:t xml:space="preserve"> </w:t>
      </w:r>
      <w:r>
        <w:rPr>
          <w:rStyle w:val="Hps"/>
        </w:rPr>
        <w:t>des blessés</w:t>
      </w:r>
      <w:r>
        <w:t xml:space="preserve"> </w:t>
      </w:r>
      <w:r>
        <w:rPr>
          <w:rStyle w:val="Hps"/>
        </w:rPr>
        <w:t>sur</w:t>
      </w:r>
      <w:r>
        <w:t xml:space="preserve"> </w:t>
      </w:r>
      <w:r>
        <w:rPr>
          <w:rStyle w:val="Hps"/>
        </w:rPr>
        <w:t>les champs de bataille »</w:t>
      </w:r>
      <w:r>
        <w:t xml:space="preserve"> </w:t>
      </w:r>
      <w:r>
        <w:rPr>
          <w:rStyle w:val="Hps"/>
        </w:rPr>
        <w:t>de 1864</w:t>
      </w:r>
      <w:r>
        <w:t>.</w:t>
      </w:r>
    </w:p>
    <w:p w:rsidR="0046662B" w:rsidRDefault="00BD4B6A">
      <w:pPr>
        <w:spacing w:line="360" w:lineRule="auto"/>
        <w:jc w:val="both"/>
        <w:rPr>
          <w:rStyle w:val="Caratteredellanota"/>
        </w:rPr>
      </w:pPr>
      <w:r>
        <w:rPr>
          <w:rStyle w:val="Hps"/>
        </w:rPr>
        <w:t>Cette proposition</w:t>
      </w:r>
      <w:r>
        <w:t>, pui</w:t>
      </w:r>
      <w:r>
        <w:t xml:space="preserve">s </w:t>
      </w:r>
      <w:r>
        <w:rPr>
          <w:rStyle w:val="Hps"/>
        </w:rPr>
        <w:t>rapidement abandonné par</w:t>
      </w:r>
      <w:r>
        <w:t xml:space="preserve"> </w:t>
      </w:r>
      <w:r>
        <w:rPr>
          <w:rStyle w:val="Hps"/>
        </w:rPr>
        <w:t>la pression</w:t>
      </w:r>
      <w:r>
        <w:t xml:space="preserve"> </w:t>
      </w:r>
      <w:r>
        <w:rPr>
          <w:rStyle w:val="Hps"/>
        </w:rPr>
        <w:t>politique et</w:t>
      </w:r>
      <w:r>
        <w:t xml:space="preserve"> par </w:t>
      </w:r>
      <w:r>
        <w:rPr>
          <w:rStyle w:val="Hps"/>
        </w:rPr>
        <w:t>les perplexités</w:t>
      </w:r>
      <w:r>
        <w:t xml:space="preserve"> </w:t>
      </w:r>
      <w:r>
        <w:rPr>
          <w:rStyle w:val="Hps"/>
        </w:rPr>
        <w:t>des juristes</w:t>
      </w:r>
      <w:r>
        <w:t xml:space="preserve">, prévoyait </w:t>
      </w:r>
      <w:r>
        <w:rPr>
          <w:rStyle w:val="Hps"/>
        </w:rPr>
        <w:t>un tribunal composé</w:t>
      </w:r>
      <w:r>
        <w:t xml:space="preserve"> </w:t>
      </w:r>
      <w:r>
        <w:rPr>
          <w:rStyle w:val="Hps"/>
        </w:rPr>
        <w:t>de deux</w:t>
      </w:r>
      <w:r>
        <w:t xml:space="preserve"> </w:t>
      </w:r>
      <w:r>
        <w:rPr>
          <w:rStyle w:val="Hps"/>
        </w:rPr>
        <w:t>juges, choisis par</w:t>
      </w:r>
      <w:r>
        <w:t xml:space="preserve"> </w:t>
      </w:r>
      <w:r>
        <w:rPr>
          <w:rStyle w:val="Hps"/>
        </w:rPr>
        <w:t>les parties belligérantes,</w:t>
      </w:r>
      <w:r>
        <w:t xml:space="preserve"> </w:t>
      </w:r>
      <w:r>
        <w:rPr>
          <w:rStyle w:val="Hps"/>
        </w:rPr>
        <w:t>et trois</w:t>
      </w:r>
      <w:r>
        <w:t xml:space="preserve"> </w:t>
      </w:r>
      <w:r>
        <w:rPr>
          <w:rStyle w:val="Hps"/>
        </w:rPr>
        <w:t>choisis par</w:t>
      </w:r>
      <w:r>
        <w:t xml:space="preserve"> </w:t>
      </w:r>
      <w:r>
        <w:rPr>
          <w:rStyle w:val="Hps"/>
        </w:rPr>
        <w:t>les pays neutres</w:t>
      </w:r>
      <w:r>
        <w:t>. La</w:t>
      </w:r>
      <w:r>
        <w:rPr>
          <w:rStyle w:val="Hps"/>
        </w:rPr>
        <w:t xml:space="preserve"> Cour</w:t>
      </w:r>
      <w:r>
        <w:t xml:space="preserve"> </w:t>
      </w:r>
      <w:r>
        <w:rPr>
          <w:rStyle w:val="Hps"/>
        </w:rPr>
        <w:t>aurait</w:t>
      </w:r>
      <w:r>
        <w:t xml:space="preserve"> </w:t>
      </w:r>
      <w:r>
        <w:rPr>
          <w:rStyle w:val="Hps"/>
        </w:rPr>
        <w:t>rendu le jugement, et sa mise en</w:t>
      </w:r>
      <w:r>
        <w:rPr>
          <w:rStyle w:val="Hps"/>
        </w:rPr>
        <w:t xml:space="preserve"> œuvre</w:t>
      </w:r>
      <w:r>
        <w:t xml:space="preserve"> é</w:t>
      </w:r>
      <w:r>
        <w:rPr>
          <w:rStyle w:val="Hps"/>
        </w:rPr>
        <w:t>tait laissée à la</w:t>
      </w:r>
      <w:r>
        <w:t xml:space="preserve"> </w:t>
      </w:r>
      <w:r>
        <w:rPr>
          <w:rStyle w:val="Hps"/>
        </w:rPr>
        <w:t>décision des États</w:t>
      </w:r>
      <w:r>
        <w:t xml:space="preserve"> </w:t>
      </w:r>
      <w:r>
        <w:rPr>
          <w:rStyle w:val="Hps"/>
        </w:rPr>
        <w:t>eux-mêmes</w:t>
      </w:r>
      <w:r>
        <w:rPr>
          <w:rStyle w:val="Rimandonotaapidipagina3"/>
        </w:rPr>
        <w:footnoteReference w:id="20"/>
      </w:r>
      <w:r>
        <w:rPr>
          <w:rStyle w:val="Hps"/>
        </w:rPr>
        <w:t>.</w:t>
      </w:r>
      <w:r>
        <w:rPr>
          <w:rStyle w:val="Caratteredellanota"/>
        </w:rPr>
        <w:t xml:space="preserve"> </w:t>
      </w:r>
    </w:p>
    <w:p w:rsidR="0046662B" w:rsidRDefault="00BD4B6A">
      <w:pPr>
        <w:spacing w:line="360" w:lineRule="auto"/>
        <w:jc w:val="both"/>
      </w:pPr>
      <w:r>
        <w:rPr>
          <w:rStyle w:val="Hps"/>
        </w:rPr>
        <w:t>Bien que</w:t>
      </w:r>
      <w:r>
        <w:t xml:space="preserve"> </w:t>
      </w:r>
      <w:r>
        <w:rPr>
          <w:rStyle w:val="Hps"/>
        </w:rPr>
        <w:t>très fragile</w:t>
      </w:r>
      <w:r>
        <w:t xml:space="preserve">, ce </w:t>
      </w:r>
      <w:r>
        <w:rPr>
          <w:rStyle w:val="Hps"/>
        </w:rPr>
        <w:t>projet a introduit</w:t>
      </w:r>
      <w:r>
        <w:t xml:space="preserve"> </w:t>
      </w:r>
      <w:r>
        <w:rPr>
          <w:rStyle w:val="Hps"/>
        </w:rPr>
        <w:t>un élément</w:t>
      </w:r>
      <w:r>
        <w:t xml:space="preserve"> </w:t>
      </w:r>
      <w:r>
        <w:rPr>
          <w:rStyle w:val="Hps"/>
        </w:rPr>
        <w:t>nouveau qui va devenir</w:t>
      </w:r>
      <w:r>
        <w:t xml:space="preserve"> </w:t>
      </w:r>
      <w:r>
        <w:rPr>
          <w:rStyle w:val="Hps"/>
        </w:rPr>
        <w:t>central</w:t>
      </w:r>
      <w:r>
        <w:t xml:space="preserve"> </w:t>
      </w:r>
      <w:r>
        <w:rPr>
          <w:rStyle w:val="Hps"/>
        </w:rPr>
        <w:t>au début</w:t>
      </w:r>
      <w:r>
        <w:t xml:space="preserve"> </w:t>
      </w:r>
      <w:r>
        <w:rPr>
          <w:rStyle w:val="Hps"/>
        </w:rPr>
        <w:t>du siècle prochain</w:t>
      </w:r>
      <w:r>
        <w:t xml:space="preserve">: </w:t>
      </w:r>
      <w:r>
        <w:rPr>
          <w:rStyle w:val="Hps"/>
        </w:rPr>
        <w:t>un tribunal</w:t>
      </w:r>
      <w:r>
        <w:t xml:space="preserve"> </w:t>
      </w:r>
      <w:r>
        <w:rPr>
          <w:rStyle w:val="Hps"/>
        </w:rPr>
        <w:t>«minimale»,</w:t>
      </w:r>
      <w:r>
        <w:t xml:space="preserve"> </w:t>
      </w:r>
      <w:r>
        <w:rPr>
          <w:rStyle w:val="Hps"/>
        </w:rPr>
        <w:t>qui pourrait</w:t>
      </w:r>
      <w:r>
        <w:t xml:space="preserve"> </w:t>
      </w:r>
      <w:r>
        <w:rPr>
          <w:rStyle w:val="Hps"/>
        </w:rPr>
        <w:t>prendre des mesures contre</w:t>
      </w:r>
      <w:r>
        <w:t xml:space="preserve"> </w:t>
      </w:r>
      <w:r>
        <w:rPr>
          <w:rStyle w:val="Hps"/>
        </w:rPr>
        <w:t xml:space="preserve">les crimes de </w:t>
      </w:r>
      <w:r>
        <w:rPr>
          <w:rStyle w:val="Hps"/>
        </w:rPr>
        <w:t>guerre</w:t>
      </w:r>
      <w:r>
        <w:t xml:space="preserve"> et </w:t>
      </w:r>
      <w:r>
        <w:rPr>
          <w:rStyle w:val="Hps"/>
        </w:rPr>
        <w:t>reconnu comme tel par</w:t>
      </w:r>
      <w:r>
        <w:t xml:space="preserve"> </w:t>
      </w:r>
      <w:r>
        <w:rPr>
          <w:rStyle w:val="Hps"/>
        </w:rPr>
        <w:t>une convention internationale</w:t>
      </w:r>
      <w:r>
        <w:t xml:space="preserve">, signée </w:t>
      </w:r>
      <w:r>
        <w:rPr>
          <w:rStyle w:val="Hps"/>
        </w:rPr>
        <w:t>par les Puissances</w:t>
      </w:r>
      <w:r>
        <w:t xml:space="preserve"> </w:t>
      </w:r>
      <w:r>
        <w:rPr>
          <w:rStyle w:val="Hps"/>
        </w:rPr>
        <w:t>participantes à la Conférence internationale</w:t>
      </w:r>
      <w:r>
        <w:t>.</w:t>
      </w:r>
    </w:p>
    <w:p w:rsidR="0046662B" w:rsidRDefault="00BD4B6A">
      <w:pPr>
        <w:spacing w:line="360" w:lineRule="auto"/>
        <w:jc w:val="both"/>
        <w:rPr>
          <w:rStyle w:val="Hps"/>
        </w:rPr>
      </w:pPr>
      <w:r>
        <w:rPr>
          <w:rStyle w:val="Hps"/>
        </w:rPr>
        <w:t>Sur un plan plus</w:t>
      </w:r>
      <w:r>
        <w:t xml:space="preserve"> </w:t>
      </w:r>
      <w:r>
        <w:rPr>
          <w:rStyle w:val="Hps"/>
        </w:rPr>
        <w:t>culturel,</w:t>
      </w:r>
      <w:r>
        <w:t xml:space="preserve"> </w:t>
      </w:r>
      <w:r>
        <w:rPr>
          <w:rStyle w:val="Hps"/>
        </w:rPr>
        <w:t>au cours de la</w:t>
      </w:r>
      <w:r>
        <w:t xml:space="preserve"> </w:t>
      </w:r>
      <w:r>
        <w:rPr>
          <w:rStyle w:val="Hps"/>
        </w:rPr>
        <w:t>soixante-dix</w:t>
      </w:r>
      <w:r>
        <w:t xml:space="preserve"> c’</w:t>
      </w:r>
      <w:r>
        <w:rPr>
          <w:rStyle w:val="Hps"/>
        </w:rPr>
        <w:t>était</w:t>
      </w:r>
      <w:r>
        <w:t xml:space="preserve"> </w:t>
      </w:r>
      <w:r>
        <w:rPr>
          <w:rStyle w:val="Hps"/>
        </w:rPr>
        <w:t>de matérialiser</w:t>
      </w:r>
      <w:r>
        <w:t xml:space="preserve"> </w:t>
      </w:r>
      <w:r>
        <w:rPr>
          <w:rStyle w:val="Hps"/>
        </w:rPr>
        <w:t>une proposition</w:t>
      </w:r>
      <w:r>
        <w:t xml:space="preserve"> </w:t>
      </w:r>
      <w:r>
        <w:rPr>
          <w:rStyle w:val="Hps"/>
        </w:rPr>
        <w:t>politique forte pour la</w:t>
      </w:r>
      <w:r>
        <w:t xml:space="preserve"> </w:t>
      </w:r>
      <w:r>
        <w:rPr>
          <w:rStyle w:val="Hps"/>
        </w:rPr>
        <w:t>cr</w:t>
      </w:r>
      <w:r>
        <w:rPr>
          <w:rStyle w:val="Hps"/>
        </w:rPr>
        <w:t>éation d'une Cour</w:t>
      </w:r>
      <w:r>
        <w:t xml:space="preserve"> </w:t>
      </w:r>
      <w:r>
        <w:rPr>
          <w:rStyle w:val="Hps"/>
        </w:rPr>
        <w:t>internationale de Justice pour</w:t>
      </w:r>
      <w:r>
        <w:t xml:space="preserve"> l’</w:t>
      </w:r>
      <w:r>
        <w:rPr>
          <w:rStyle w:val="Hps"/>
        </w:rPr>
        <w:t>arbitrage, qui</w:t>
      </w:r>
      <w:r>
        <w:t xml:space="preserve"> </w:t>
      </w:r>
      <w:r>
        <w:rPr>
          <w:rStyle w:val="Hps"/>
        </w:rPr>
        <w:t>avait « compétence de juridiction »</w:t>
      </w:r>
      <w:r>
        <w:t xml:space="preserve">, </w:t>
      </w:r>
      <w:r>
        <w:rPr>
          <w:rStyle w:val="Hps"/>
        </w:rPr>
        <w:t>comme il l'avait</w:t>
      </w:r>
      <w:r>
        <w:t xml:space="preserve"> </w:t>
      </w:r>
      <w:r>
        <w:rPr>
          <w:rStyle w:val="Hps"/>
        </w:rPr>
        <w:t>indiqué dans</w:t>
      </w:r>
      <w:r>
        <w:t xml:space="preserve"> </w:t>
      </w:r>
      <w:r>
        <w:rPr>
          <w:rStyle w:val="Hps"/>
        </w:rPr>
        <w:t>son essai</w:t>
      </w:r>
      <w:r>
        <w:t xml:space="preserve"> </w:t>
      </w:r>
      <w:r>
        <w:rPr>
          <w:rStyle w:val="Hps"/>
        </w:rPr>
        <w:t>de 1873</w:t>
      </w:r>
      <w:r>
        <w:t xml:space="preserve">, l'un </w:t>
      </w:r>
      <w:r>
        <w:rPr>
          <w:rStyle w:val="Hps"/>
        </w:rPr>
        <w:t>des intellectuels les plus</w:t>
      </w:r>
      <w:r>
        <w:t xml:space="preserve"> </w:t>
      </w:r>
      <w:r>
        <w:rPr>
          <w:rStyle w:val="Hps"/>
        </w:rPr>
        <w:t>importants de l'époque,</w:t>
      </w:r>
      <w:r>
        <w:t xml:space="preserve"> </w:t>
      </w:r>
      <w:r>
        <w:rPr>
          <w:rStyle w:val="Hps"/>
        </w:rPr>
        <w:t>l'économiste</w:t>
      </w:r>
      <w:r>
        <w:t xml:space="preserve"> </w:t>
      </w:r>
      <w:r>
        <w:rPr>
          <w:rStyle w:val="Hps"/>
        </w:rPr>
        <w:t>et homme politique</w:t>
      </w:r>
      <w:r>
        <w:t xml:space="preserve"> </w:t>
      </w:r>
      <w:r>
        <w:rPr>
          <w:rStyle w:val="Hps"/>
        </w:rPr>
        <w:t>belge</w:t>
      </w:r>
      <w:r>
        <w:t xml:space="preserve">, </w:t>
      </w:r>
      <w:r>
        <w:rPr>
          <w:rStyle w:val="Hps"/>
        </w:rPr>
        <w:t>Émile</w:t>
      </w:r>
      <w:r>
        <w:t xml:space="preserve"> </w:t>
      </w:r>
      <w:r>
        <w:rPr>
          <w:rStyle w:val="Hps"/>
        </w:rPr>
        <w:t>Lou</w:t>
      </w:r>
      <w:r>
        <w:rPr>
          <w:rStyle w:val="Hps"/>
        </w:rPr>
        <w:t>is</w:t>
      </w:r>
      <w:r>
        <w:t xml:space="preserve"> </w:t>
      </w:r>
      <w:r>
        <w:rPr>
          <w:rStyle w:val="Hps"/>
        </w:rPr>
        <w:t>Victor de</w:t>
      </w:r>
      <w:r>
        <w:t xml:space="preserve"> </w:t>
      </w:r>
      <w:r>
        <w:rPr>
          <w:rStyle w:val="Hps"/>
        </w:rPr>
        <w:t>Lavelaye</w:t>
      </w:r>
      <w:r>
        <w:t xml:space="preserve"> (</w:t>
      </w:r>
      <w:r>
        <w:rPr>
          <w:rStyle w:val="Hps"/>
        </w:rPr>
        <w:t>et surtout le secrétaire</w:t>
      </w:r>
      <w:r>
        <w:t xml:space="preserve"> </w:t>
      </w:r>
      <w:r>
        <w:rPr>
          <w:rStyle w:val="Hps"/>
        </w:rPr>
        <w:t xml:space="preserve">de </w:t>
      </w:r>
      <w:r>
        <w:rPr>
          <w:rStyle w:val="Hps"/>
          <w:i/>
        </w:rPr>
        <w:t>l'Association</w:t>
      </w:r>
      <w:r>
        <w:rPr>
          <w:i/>
        </w:rPr>
        <w:t xml:space="preserve"> </w:t>
      </w:r>
      <w:r>
        <w:rPr>
          <w:rStyle w:val="Hps"/>
          <w:i/>
        </w:rPr>
        <w:t>de droit international</w:t>
      </w:r>
      <w:r>
        <w:rPr>
          <w:rStyle w:val="Hps"/>
        </w:rPr>
        <w:t>).</w:t>
      </w:r>
    </w:p>
    <w:p w:rsidR="0046662B" w:rsidRDefault="00BD4B6A">
      <w:pPr>
        <w:spacing w:line="360" w:lineRule="auto"/>
        <w:jc w:val="both"/>
      </w:pPr>
      <w:r>
        <w:rPr>
          <w:rStyle w:val="Hps"/>
        </w:rPr>
        <w:t>Émile de</w:t>
      </w:r>
      <w:r>
        <w:t xml:space="preserve"> </w:t>
      </w:r>
      <w:r>
        <w:rPr>
          <w:rStyle w:val="Hps"/>
        </w:rPr>
        <w:t>Lavelaye</w:t>
      </w:r>
      <w:r>
        <w:t xml:space="preserve">, convaincu de </w:t>
      </w:r>
      <w:r>
        <w:rPr>
          <w:rStyle w:val="Hps"/>
        </w:rPr>
        <w:t>la déclaration</w:t>
      </w:r>
      <w:r>
        <w:t xml:space="preserve"> </w:t>
      </w:r>
      <w:r>
        <w:rPr>
          <w:rStyle w:val="Hps"/>
        </w:rPr>
        <w:t>de la loi</w:t>
      </w:r>
      <w:r>
        <w:t xml:space="preserve"> </w:t>
      </w:r>
      <w:r>
        <w:rPr>
          <w:rStyle w:val="Hps"/>
        </w:rPr>
        <w:t>dans les relations</w:t>
      </w:r>
      <w:r>
        <w:t xml:space="preserve"> </w:t>
      </w:r>
      <w:r>
        <w:rPr>
          <w:rStyle w:val="Hps"/>
        </w:rPr>
        <w:t>interétatiques</w:t>
      </w:r>
      <w:r>
        <w:t xml:space="preserve"> </w:t>
      </w:r>
      <w:r>
        <w:rPr>
          <w:rStyle w:val="Hps"/>
        </w:rPr>
        <w:t>après la fin de</w:t>
      </w:r>
      <w:r>
        <w:t xml:space="preserve"> </w:t>
      </w:r>
      <w:r>
        <w:rPr>
          <w:rStyle w:val="Hps"/>
        </w:rPr>
        <w:t>la guerre franco</w:t>
      </w:r>
      <w:r>
        <w:t>-prussienne</w:t>
      </w:r>
      <w:r>
        <w:rPr>
          <w:rStyle w:val="Rimandonotaapidipagina"/>
        </w:rPr>
        <w:footnoteReference w:id="21"/>
      </w:r>
      <w:r>
        <w:t xml:space="preserve">, </w:t>
      </w:r>
      <w:r>
        <w:rPr>
          <w:rStyle w:val="Hps"/>
        </w:rPr>
        <w:t>ne se limitait pas</w:t>
      </w:r>
      <w:r>
        <w:t xml:space="preserve"> </w:t>
      </w:r>
      <w:r>
        <w:rPr>
          <w:rStyle w:val="Hps"/>
        </w:rPr>
        <w:t>à exhorter</w:t>
      </w:r>
      <w:r>
        <w:t xml:space="preserve"> </w:t>
      </w:r>
      <w:r>
        <w:rPr>
          <w:rStyle w:val="Hps"/>
        </w:rPr>
        <w:t>l'affirmation d'une</w:t>
      </w:r>
      <w:r>
        <w:t xml:space="preserve"> </w:t>
      </w:r>
      <w:r>
        <w:rPr>
          <w:rStyle w:val="Hps"/>
        </w:rPr>
        <w:t>cour permanente d'arbitrage</w:t>
      </w:r>
      <w:r>
        <w:t xml:space="preserve">, mais </w:t>
      </w:r>
      <w:r>
        <w:rPr>
          <w:rStyle w:val="Hps"/>
        </w:rPr>
        <w:t>il a travaillé,</w:t>
      </w:r>
      <w:r>
        <w:t xml:space="preserve"> </w:t>
      </w:r>
      <w:r>
        <w:rPr>
          <w:rStyle w:val="Hps"/>
        </w:rPr>
        <w:t>avec une certaine force</w:t>
      </w:r>
      <w:r>
        <w:t xml:space="preserve">, pour l'établissement </w:t>
      </w:r>
      <w:r>
        <w:rPr>
          <w:rStyle w:val="Hps"/>
        </w:rPr>
        <w:t>de</w:t>
      </w:r>
      <w:r>
        <w:t xml:space="preserve"> </w:t>
      </w:r>
      <w:r>
        <w:rPr>
          <w:rStyle w:val="Hps"/>
        </w:rPr>
        <w:t>la</w:t>
      </w:r>
      <w:r>
        <w:t xml:space="preserve"> </w:t>
      </w:r>
      <w:r>
        <w:rPr>
          <w:rStyle w:val="Hps"/>
        </w:rPr>
        <w:t>Haute Cour des Nations</w:t>
      </w:r>
      <w:r>
        <w:t xml:space="preserve"> </w:t>
      </w:r>
      <w:r>
        <w:rPr>
          <w:rStyle w:val="Hps"/>
        </w:rPr>
        <w:t>qui aurait garanti</w:t>
      </w:r>
      <w:r>
        <w:t xml:space="preserve"> </w:t>
      </w:r>
      <w:r>
        <w:rPr>
          <w:rStyle w:val="Hps"/>
        </w:rPr>
        <w:t>la respect d'un</w:t>
      </w:r>
      <w:r>
        <w:t xml:space="preserve"> </w:t>
      </w:r>
      <w:r>
        <w:rPr>
          <w:rStyle w:val="Hps"/>
        </w:rPr>
        <w:t>futur code de</w:t>
      </w:r>
      <w:r>
        <w:t xml:space="preserve"> </w:t>
      </w:r>
      <w:r>
        <w:rPr>
          <w:rStyle w:val="Hps"/>
        </w:rPr>
        <w:t>droit international,</w:t>
      </w:r>
      <w:r>
        <w:t xml:space="preserve"> </w:t>
      </w:r>
      <w:r>
        <w:rPr>
          <w:rStyle w:val="Hps"/>
        </w:rPr>
        <w:t>établi par</w:t>
      </w:r>
      <w:r>
        <w:t xml:space="preserve"> </w:t>
      </w:r>
      <w:r>
        <w:rPr>
          <w:rStyle w:val="Hps"/>
        </w:rPr>
        <w:t>une conférence des</w:t>
      </w:r>
      <w:r>
        <w:t xml:space="preserve"> </w:t>
      </w:r>
      <w:r>
        <w:rPr>
          <w:rStyle w:val="Hps"/>
        </w:rPr>
        <w:t>représenta</w:t>
      </w:r>
      <w:r>
        <w:rPr>
          <w:rStyle w:val="Hps"/>
        </w:rPr>
        <w:t>nts,</w:t>
      </w:r>
      <w:r>
        <w:t xml:space="preserve"> </w:t>
      </w:r>
      <w:r>
        <w:rPr>
          <w:rStyle w:val="Hps"/>
        </w:rPr>
        <w:t>diplomates et des juristes,</w:t>
      </w:r>
      <w:r>
        <w:t xml:space="preserve"> nommés per les</w:t>
      </w:r>
      <w:r>
        <w:rPr>
          <w:rStyle w:val="Hps"/>
        </w:rPr>
        <w:t xml:space="preserve"> États</w:t>
      </w:r>
      <w:r>
        <w:rPr>
          <w:rStyle w:val="Rimandonotaapidipagina1"/>
        </w:rPr>
        <w:footnoteReference w:id="22"/>
      </w:r>
      <w:r>
        <w:t>.</w:t>
      </w:r>
    </w:p>
    <w:p w:rsidR="0046662B" w:rsidRDefault="00BD4B6A">
      <w:pPr>
        <w:spacing w:line="360" w:lineRule="auto"/>
        <w:jc w:val="both"/>
      </w:pPr>
      <w:r>
        <w:rPr>
          <w:rStyle w:val="Hps"/>
        </w:rPr>
        <w:t>Mais</w:t>
      </w:r>
      <w:r>
        <w:t xml:space="preserve"> </w:t>
      </w:r>
      <w:r>
        <w:rPr>
          <w:rStyle w:val="Hps"/>
        </w:rPr>
        <w:t>les</w:t>
      </w:r>
      <w:r>
        <w:t xml:space="preserve"> </w:t>
      </w:r>
      <w:r>
        <w:rPr>
          <w:rStyle w:val="Hps"/>
        </w:rPr>
        <w:t>débats de la décennie</w:t>
      </w:r>
      <w:r>
        <w:t xml:space="preserve"> </w:t>
      </w:r>
      <w:r>
        <w:rPr>
          <w:rStyle w:val="Hps"/>
        </w:rPr>
        <w:t>soixante-dix,</w:t>
      </w:r>
      <w:r>
        <w:t xml:space="preserve"> </w:t>
      </w:r>
      <w:r>
        <w:rPr>
          <w:rStyle w:val="Hps"/>
        </w:rPr>
        <w:t>cependant,</w:t>
      </w:r>
      <w:r>
        <w:t xml:space="preserve"> </w:t>
      </w:r>
      <w:r>
        <w:rPr>
          <w:rStyle w:val="Hps"/>
        </w:rPr>
        <w:t>montraient déjà</w:t>
      </w:r>
      <w:r>
        <w:t xml:space="preserve"> </w:t>
      </w:r>
      <w:r>
        <w:rPr>
          <w:rStyle w:val="Hps"/>
        </w:rPr>
        <w:t>des limites</w:t>
      </w:r>
      <w:r>
        <w:t xml:space="preserve"> théoriques et politiques </w:t>
      </w:r>
      <w:r>
        <w:rPr>
          <w:rStyle w:val="Hps"/>
        </w:rPr>
        <w:t>et les faiblesses politique de</w:t>
      </w:r>
      <w:r>
        <w:t xml:space="preserve"> </w:t>
      </w:r>
      <w:r>
        <w:rPr>
          <w:rStyle w:val="Hps"/>
        </w:rPr>
        <w:t>l'arbitrage</w:t>
      </w:r>
      <w:r>
        <w:t xml:space="preserve">, en particulier selon </w:t>
      </w:r>
      <w:r>
        <w:rPr>
          <w:rStyle w:val="Hps"/>
        </w:rPr>
        <w:t>l'analyse</w:t>
      </w:r>
      <w:r>
        <w:t xml:space="preserve"> </w:t>
      </w:r>
      <w:r>
        <w:rPr>
          <w:rStyle w:val="Hps"/>
        </w:rPr>
        <w:t xml:space="preserve">de l'« école »  </w:t>
      </w:r>
      <w:r>
        <w:rPr>
          <w:rStyle w:val="Hps"/>
        </w:rPr>
        <w:t>française</w:t>
      </w:r>
      <w:r>
        <w:t xml:space="preserve"> </w:t>
      </w:r>
      <w:r>
        <w:rPr>
          <w:rStyle w:val="Hps"/>
        </w:rPr>
        <w:t>plutôt que</w:t>
      </w:r>
      <w:r>
        <w:t xml:space="preserve"> </w:t>
      </w:r>
      <w:r>
        <w:rPr>
          <w:rStyle w:val="Hps"/>
        </w:rPr>
        <w:t xml:space="preserve">laquelle </w:t>
      </w:r>
      <w:r>
        <w:t xml:space="preserve">anglo-saxonne, </w:t>
      </w:r>
      <w:r>
        <w:rPr>
          <w:rStyle w:val="Hps"/>
        </w:rPr>
        <w:t>ou dans le reste</w:t>
      </w:r>
      <w:r>
        <w:t xml:space="preserve"> </w:t>
      </w:r>
      <w:r>
        <w:rPr>
          <w:rStyle w:val="Hps"/>
        </w:rPr>
        <w:t>de l'Europe</w:t>
      </w:r>
      <w:r>
        <w:t>.</w:t>
      </w:r>
    </w:p>
    <w:p w:rsidR="0046662B" w:rsidRDefault="00BD4B6A">
      <w:pPr>
        <w:spacing w:line="360" w:lineRule="auto"/>
        <w:jc w:val="both"/>
      </w:pPr>
      <w:r>
        <w:rPr>
          <w:rStyle w:val="Hps"/>
        </w:rPr>
        <w:t>Autrement dit,</w:t>
      </w:r>
      <w:r>
        <w:t xml:space="preserve"> </w:t>
      </w:r>
      <w:r>
        <w:rPr>
          <w:rStyle w:val="Hps"/>
        </w:rPr>
        <w:t>bien que l'institution</w:t>
      </w:r>
      <w:r>
        <w:t xml:space="preserve"> </w:t>
      </w:r>
      <w:r>
        <w:rPr>
          <w:rStyle w:val="Hps"/>
        </w:rPr>
        <w:t>de l'arbitrage</w:t>
      </w:r>
      <w:r>
        <w:t xml:space="preserve"> </w:t>
      </w:r>
      <w:r>
        <w:rPr>
          <w:rStyle w:val="Hps"/>
        </w:rPr>
        <w:t>a</w:t>
      </w:r>
      <w:r>
        <w:t xml:space="preserve">it </w:t>
      </w:r>
      <w:r>
        <w:rPr>
          <w:rStyle w:val="Hps"/>
        </w:rPr>
        <w:t>montré une efficacité</w:t>
      </w:r>
      <w:r>
        <w:t xml:space="preserve"> </w:t>
      </w:r>
      <w:r>
        <w:rPr>
          <w:rStyle w:val="Hps"/>
        </w:rPr>
        <w:t>dans la résolution des</w:t>
      </w:r>
      <w:r>
        <w:t xml:space="preserve"> </w:t>
      </w:r>
      <w:r>
        <w:rPr>
          <w:rStyle w:val="Hps"/>
        </w:rPr>
        <w:t>conflits</w:t>
      </w:r>
      <w:r>
        <w:t xml:space="preserve">, ne pouvait pas </w:t>
      </w:r>
      <w:r>
        <w:rPr>
          <w:rStyle w:val="Hps"/>
        </w:rPr>
        <w:t>effectivement devenir le</w:t>
      </w:r>
      <w:r>
        <w:t xml:space="preserve"> </w:t>
      </w:r>
      <w:r>
        <w:rPr>
          <w:rStyle w:val="Hps"/>
        </w:rPr>
        <w:t>seul fondement</w:t>
      </w:r>
      <w:r>
        <w:t xml:space="preserve"> </w:t>
      </w:r>
      <w:r>
        <w:rPr>
          <w:rStyle w:val="Hps"/>
        </w:rPr>
        <w:t xml:space="preserve">de la justice </w:t>
      </w:r>
      <w:r>
        <w:rPr>
          <w:rStyle w:val="Hps"/>
        </w:rPr>
        <w:t>internationale</w:t>
      </w:r>
      <w:r>
        <w:t xml:space="preserve"> </w:t>
      </w:r>
      <w:r>
        <w:rPr>
          <w:rStyle w:val="Hps"/>
        </w:rPr>
        <w:t>«réglementé» et</w:t>
      </w:r>
      <w:r>
        <w:t xml:space="preserve"> </w:t>
      </w:r>
      <w:r>
        <w:rPr>
          <w:rStyle w:val="Hps"/>
        </w:rPr>
        <w:t>«organisé»</w:t>
      </w:r>
      <w:r>
        <w:t xml:space="preserve">, </w:t>
      </w:r>
      <w:r>
        <w:rPr>
          <w:rStyle w:val="Hps"/>
        </w:rPr>
        <w:t>même si</w:t>
      </w:r>
      <w:r>
        <w:t xml:space="preserve">, bien sûr, </w:t>
      </w:r>
      <w:r>
        <w:rPr>
          <w:rStyle w:val="Hps"/>
        </w:rPr>
        <w:t>ne pouvait que</w:t>
      </w:r>
      <w:r>
        <w:t xml:space="preserve"> </w:t>
      </w:r>
      <w:r>
        <w:rPr>
          <w:rStyle w:val="Hps"/>
        </w:rPr>
        <w:t>faire partie de</w:t>
      </w:r>
      <w:r>
        <w:t xml:space="preserve"> </w:t>
      </w:r>
      <w:r>
        <w:rPr>
          <w:rStyle w:val="Hps"/>
        </w:rPr>
        <w:t>cela. En 1972,</w:t>
      </w:r>
      <w:r>
        <w:t xml:space="preserve"> </w:t>
      </w:r>
      <w:r>
        <w:rPr>
          <w:rStyle w:val="Hps"/>
        </w:rPr>
        <w:t>Louis</w:t>
      </w:r>
      <w:r>
        <w:t xml:space="preserve"> </w:t>
      </w:r>
      <w:r>
        <w:rPr>
          <w:rStyle w:val="Hps"/>
        </w:rPr>
        <w:t>Bara</w:t>
      </w:r>
      <w:r>
        <w:t xml:space="preserve">, </w:t>
      </w:r>
      <w:r>
        <w:rPr>
          <w:rStyle w:val="Hps"/>
        </w:rPr>
        <w:t>bien connu</w:t>
      </w:r>
      <w:r>
        <w:t xml:space="preserve"> </w:t>
      </w:r>
      <w:r>
        <w:rPr>
          <w:rStyle w:val="Hps"/>
        </w:rPr>
        <w:t>juriste français</w:t>
      </w:r>
      <w:r>
        <w:t xml:space="preserve">, </w:t>
      </w:r>
      <w:r>
        <w:rPr>
          <w:rStyle w:val="Hps"/>
        </w:rPr>
        <w:t>aurait écrit que</w:t>
      </w:r>
      <w:r>
        <w:t xml:space="preserve"> </w:t>
      </w:r>
      <w:r>
        <w:rPr>
          <w:i/>
        </w:rPr>
        <w:t>réduire la justice internationale à un arbitrage n’est ni plus prudent, ni plus possible</w:t>
      </w:r>
      <w:r>
        <w:t>.</w:t>
      </w:r>
      <w:r>
        <w:rPr>
          <w:rStyle w:val="Rimandonotaapidipagina1"/>
        </w:rPr>
        <w:footnoteReference w:id="23"/>
      </w:r>
    </w:p>
    <w:p w:rsidR="0046662B" w:rsidRDefault="00BD4B6A">
      <w:pPr>
        <w:spacing w:line="360" w:lineRule="auto"/>
        <w:jc w:val="both"/>
        <w:rPr>
          <w:rStyle w:val="Hps"/>
        </w:rPr>
      </w:pPr>
      <w:r>
        <w:rPr>
          <w:rStyle w:val="Hps"/>
        </w:rPr>
        <w:t>Lors de la séance</w:t>
      </w:r>
      <w:r>
        <w:t xml:space="preserve"> </w:t>
      </w:r>
      <w:r>
        <w:rPr>
          <w:rStyle w:val="Hps"/>
        </w:rPr>
        <w:t>de l'</w:t>
      </w:r>
      <w:r>
        <w:rPr>
          <w:rStyle w:val="Hps"/>
          <w:i/>
        </w:rPr>
        <w:t>Institut de droit international</w:t>
      </w:r>
      <w:r>
        <w:rPr>
          <w:rStyle w:val="Hps"/>
        </w:rPr>
        <w:t>,</w:t>
      </w:r>
      <w:r>
        <w:t xml:space="preserve"> </w:t>
      </w:r>
      <w:r>
        <w:rPr>
          <w:rStyle w:val="Hps"/>
        </w:rPr>
        <w:t>à Genève</w:t>
      </w:r>
      <w:r>
        <w:t xml:space="preserve"> de 31 </w:t>
      </w:r>
      <w:r>
        <w:rPr>
          <w:rStyle w:val="Hps"/>
        </w:rPr>
        <w:t>Août</w:t>
      </w:r>
      <w:r>
        <w:t xml:space="preserve"> 1874, </w:t>
      </w:r>
      <w:r>
        <w:rPr>
          <w:rStyle w:val="Hps"/>
        </w:rPr>
        <w:t>un membre influent</w:t>
      </w:r>
      <w:r>
        <w:t xml:space="preserve">, </w:t>
      </w:r>
      <w:r>
        <w:rPr>
          <w:rStyle w:val="Hps"/>
        </w:rPr>
        <w:t>Levin</w:t>
      </w:r>
      <w:r>
        <w:t xml:space="preserve"> </w:t>
      </w:r>
      <w:r>
        <w:rPr>
          <w:rStyle w:val="Hps"/>
        </w:rPr>
        <w:t>Goldschmidt</w:t>
      </w:r>
      <w:r>
        <w:t xml:space="preserve">, </w:t>
      </w:r>
      <w:r>
        <w:rPr>
          <w:rStyle w:val="Hps"/>
        </w:rPr>
        <w:t>a présenté un projet</w:t>
      </w:r>
      <w:r>
        <w:t xml:space="preserve"> </w:t>
      </w:r>
      <w:r>
        <w:rPr>
          <w:rStyle w:val="Hps"/>
        </w:rPr>
        <w:t>pour la construction des</w:t>
      </w:r>
      <w:r>
        <w:t xml:space="preserve"> </w:t>
      </w:r>
      <w:r>
        <w:rPr>
          <w:rStyle w:val="Hps"/>
        </w:rPr>
        <w:t>tribunaux</w:t>
      </w:r>
      <w:r>
        <w:t xml:space="preserve"> </w:t>
      </w:r>
      <w:r>
        <w:rPr>
          <w:rStyle w:val="Hps"/>
        </w:rPr>
        <w:t>d'arbitrage</w:t>
      </w:r>
      <w:r>
        <w:t xml:space="preserve">, qui a influencé le </w:t>
      </w:r>
      <w:r>
        <w:rPr>
          <w:rStyle w:val="Hps"/>
        </w:rPr>
        <w:t xml:space="preserve">débat des « internationalistes ». </w:t>
      </w:r>
    </w:p>
    <w:p w:rsidR="0046662B" w:rsidRDefault="00BD4B6A">
      <w:pPr>
        <w:spacing w:line="360" w:lineRule="auto"/>
        <w:jc w:val="both"/>
      </w:pPr>
      <w:r>
        <w:rPr>
          <w:rStyle w:val="Hps"/>
        </w:rPr>
        <w:t xml:space="preserve">À la même </w:t>
      </w:r>
      <w:r>
        <w:rPr>
          <w:rStyle w:val="Hps"/>
        </w:rPr>
        <w:t>façon, lors de</w:t>
      </w:r>
      <w:r>
        <w:t xml:space="preserve"> </w:t>
      </w:r>
      <w:r>
        <w:rPr>
          <w:rStyle w:val="Hps"/>
        </w:rPr>
        <w:t>la réunion</w:t>
      </w:r>
      <w:r>
        <w:t xml:space="preserve"> </w:t>
      </w:r>
      <w:r>
        <w:rPr>
          <w:rStyle w:val="Hps"/>
        </w:rPr>
        <w:t>de l'Institut</w:t>
      </w:r>
      <w:r>
        <w:t xml:space="preserve"> </w:t>
      </w:r>
      <w:r>
        <w:rPr>
          <w:rStyle w:val="Hps"/>
        </w:rPr>
        <w:t>à Zurich en</w:t>
      </w:r>
      <w:r>
        <w:t xml:space="preserve"> </w:t>
      </w:r>
      <w:r>
        <w:rPr>
          <w:rStyle w:val="Hps"/>
        </w:rPr>
        <w:t>1877,</w:t>
      </w:r>
      <w:r>
        <w:t xml:space="preserve"> </w:t>
      </w:r>
      <w:r>
        <w:rPr>
          <w:rStyle w:val="Hps"/>
        </w:rPr>
        <w:t>von Bulmerincq</w:t>
      </w:r>
      <w:r>
        <w:t xml:space="preserve"> </w:t>
      </w:r>
      <w:r>
        <w:rPr>
          <w:rStyle w:val="Hps"/>
        </w:rPr>
        <w:t>proposa de discuter</w:t>
      </w:r>
      <w:r>
        <w:t xml:space="preserve"> </w:t>
      </w:r>
      <w:r>
        <w:rPr>
          <w:rStyle w:val="Hps"/>
        </w:rPr>
        <w:t>d'un projet</w:t>
      </w:r>
      <w:r>
        <w:t xml:space="preserve"> </w:t>
      </w:r>
      <w:r>
        <w:rPr>
          <w:rStyle w:val="Hps"/>
        </w:rPr>
        <w:t>pour l'organisation de</w:t>
      </w:r>
      <w:r>
        <w:t xml:space="preserve"> </w:t>
      </w:r>
      <w:r>
        <w:rPr>
          <w:rStyle w:val="Hps"/>
        </w:rPr>
        <w:t>cours internationales</w:t>
      </w:r>
      <w:r>
        <w:t xml:space="preserve"> des « Prises » (</w:t>
      </w:r>
      <w:r>
        <w:rPr>
          <w:i/>
        </w:rPr>
        <w:t>Admiralty</w:t>
      </w:r>
      <w:r>
        <w:t xml:space="preserve">), qui pourraient intervenir </w:t>
      </w:r>
      <w:r>
        <w:rPr>
          <w:rStyle w:val="Hps"/>
        </w:rPr>
        <w:t>sur les questions relatives</w:t>
      </w:r>
      <w:r>
        <w:t xml:space="preserve"> </w:t>
      </w:r>
      <w:r>
        <w:rPr>
          <w:rStyle w:val="Hps"/>
        </w:rPr>
        <w:t>à la légalité de</w:t>
      </w:r>
      <w:r>
        <w:t xml:space="preserve"> </w:t>
      </w:r>
      <w:r>
        <w:rPr>
          <w:rStyle w:val="Hps"/>
        </w:rPr>
        <w:t>la sais</w:t>
      </w:r>
      <w:r>
        <w:rPr>
          <w:rStyle w:val="Hps"/>
        </w:rPr>
        <w:t>ie</w:t>
      </w:r>
      <w:r>
        <w:t xml:space="preserve"> </w:t>
      </w:r>
      <w:r>
        <w:rPr>
          <w:rStyle w:val="Hps"/>
        </w:rPr>
        <w:t>des navires (de</w:t>
      </w:r>
      <w:r>
        <w:t xml:space="preserve"> </w:t>
      </w:r>
      <w:r>
        <w:rPr>
          <w:rStyle w:val="Hps"/>
        </w:rPr>
        <w:t>guerre)</w:t>
      </w:r>
      <w:r>
        <w:t xml:space="preserve"> </w:t>
      </w:r>
      <w:r>
        <w:rPr>
          <w:rStyle w:val="Hps"/>
        </w:rPr>
        <w:t>des États neutres</w:t>
      </w:r>
      <w:r>
        <w:t xml:space="preserve">, </w:t>
      </w:r>
      <w:r>
        <w:rPr>
          <w:rStyle w:val="Hps"/>
        </w:rPr>
        <w:t>pendant</w:t>
      </w:r>
      <w:r>
        <w:t xml:space="preserve"> </w:t>
      </w:r>
      <w:r>
        <w:rPr>
          <w:rStyle w:val="Hps"/>
        </w:rPr>
        <w:t>les années de guerre</w:t>
      </w:r>
      <w:r>
        <w:rPr>
          <w:rStyle w:val="Caratteredellanota"/>
        </w:rPr>
        <w:footnoteReference w:id="24"/>
      </w:r>
      <w:r>
        <w:t xml:space="preserve">. </w:t>
      </w:r>
    </w:p>
    <w:p w:rsidR="0046662B" w:rsidRDefault="00BD4B6A">
      <w:pPr>
        <w:spacing w:line="360" w:lineRule="auto"/>
        <w:jc w:val="both"/>
      </w:pPr>
      <w:r>
        <w:rPr>
          <w:rStyle w:val="Hps"/>
        </w:rPr>
        <w:t>Selon</w:t>
      </w:r>
      <w:r>
        <w:t xml:space="preserve"> </w:t>
      </w:r>
      <w:r>
        <w:rPr>
          <w:rStyle w:val="Hps"/>
        </w:rPr>
        <w:t>Bulmerincq</w:t>
      </w:r>
      <w:r>
        <w:t xml:space="preserve">, </w:t>
      </w:r>
      <w:r>
        <w:rPr>
          <w:rStyle w:val="Hps"/>
        </w:rPr>
        <w:t>ces</w:t>
      </w:r>
      <w:r>
        <w:t xml:space="preserve"> </w:t>
      </w:r>
      <w:r>
        <w:rPr>
          <w:rStyle w:val="Hps"/>
        </w:rPr>
        <w:t>tribunaux devaient</w:t>
      </w:r>
      <w:r>
        <w:t xml:space="preserve"> </w:t>
      </w:r>
      <w:r>
        <w:rPr>
          <w:rStyle w:val="Hps"/>
        </w:rPr>
        <w:t>être considérés comme des</w:t>
      </w:r>
      <w:r>
        <w:t xml:space="preserve"> </w:t>
      </w:r>
      <w:r>
        <w:rPr>
          <w:rStyle w:val="Hps"/>
        </w:rPr>
        <w:t>tribunaux mixtes</w:t>
      </w:r>
      <w:r>
        <w:t xml:space="preserve"> </w:t>
      </w:r>
      <w:r>
        <w:rPr>
          <w:rStyle w:val="Hps"/>
        </w:rPr>
        <w:t>de première instance et d'appel</w:t>
      </w:r>
      <w:r>
        <w:t xml:space="preserve">, composées des </w:t>
      </w:r>
      <w:r>
        <w:rPr>
          <w:rStyle w:val="Hps"/>
        </w:rPr>
        <w:t>magistrats</w:t>
      </w:r>
      <w:r>
        <w:t xml:space="preserve"> </w:t>
      </w:r>
      <w:r>
        <w:rPr>
          <w:rStyle w:val="Hps"/>
        </w:rPr>
        <w:t>«</w:t>
      </w:r>
      <w:r>
        <w:t xml:space="preserve">neutres» et basé sur </w:t>
      </w:r>
      <w:r>
        <w:rPr>
          <w:rStyle w:val="Hps"/>
        </w:rPr>
        <w:t xml:space="preserve">une </w:t>
      </w:r>
      <w:r>
        <w:rPr>
          <w:rStyle w:val="Hps"/>
        </w:rPr>
        <w:t>combinaison des</w:t>
      </w:r>
      <w:r>
        <w:t xml:space="preserve"> </w:t>
      </w:r>
      <w:r>
        <w:rPr>
          <w:rStyle w:val="Hps"/>
        </w:rPr>
        <w:t>juridictions</w:t>
      </w:r>
      <w:r>
        <w:t xml:space="preserve"> </w:t>
      </w:r>
      <w:r>
        <w:rPr>
          <w:rStyle w:val="Hps"/>
        </w:rPr>
        <w:t>des pays belligérants</w:t>
      </w:r>
      <w:r>
        <w:t xml:space="preserve"> </w:t>
      </w:r>
      <w:r>
        <w:rPr>
          <w:rStyle w:val="Hps"/>
        </w:rPr>
        <w:t>et neutres</w:t>
      </w:r>
      <w:r>
        <w:rPr>
          <w:rStyle w:val="Rimandonotaapidipagina1"/>
        </w:rPr>
        <w:footnoteReference w:id="25"/>
      </w:r>
      <w:r>
        <w:t>.</w:t>
      </w:r>
    </w:p>
    <w:p w:rsidR="0046662B" w:rsidRDefault="00BD4B6A">
      <w:pPr>
        <w:spacing w:line="360" w:lineRule="auto"/>
        <w:jc w:val="both"/>
        <w:rPr>
          <w:rStyle w:val="Hps"/>
        </w:rPr>
      </w:pPr>
      <w:r>
        <w:rPr>
          <w:rStyle w:val="Hps"/>
        </w:rPr>
        <w:t>Parmi les</w:t>
      </w:r>
      <w:r>
        <w:t xml:space="preserve"> </w:t>
      </w:r>
      <w:r>
        <w:rPr>
          <w:rStyle w:val="Hps"/>
        </w:rPr>
        <w:t>juristes qui ont travaillé</w:t>
      </w:r>
      <w:r>
        <w:t xml:space="preserve"> </w:t>
      </w:r>
      <w:r>
        <w:rPr>
          <w:rStyle w:val="Hps"/>
        </w:rPr>
        <w:t>sur le thème</w:t>
      </w:r>
      <w:r>
        <w:t xml:space="preserve"> </w:t>
      </w:r>
      <w:r>
        <w:rPr>
          <w:rStyle w:val="Hps"/>
        </w:rPr>
        <w:t>de l'arbitrage,</w:t>
      </w:r>
      <w:r>
        <w:t xml:space="preserve"> </w:t>
      </w:r>
      <w:r>
        <w:rPr>
          <w:rStyle w:val="Hps"/>
        </w:rPr>
        <w:t>John</w:t>
      </w:r>
      <w:r>
        <w:t xml:space="preserve"> </w:t>
      </w:r>
      <w:r>
        <w:rPr>
          <w:rStyle w:val="Hps"/>
        </w:rPr>
        <w:t>Westlake et</w:t>
      </w:r>
      <w:r>
        <w:t xml:space="preserve"> </w:t>
      </w:r>
      <w:r>
        <w:rPr>
          <w:rStyle w:val="Hps"/>
        </w:rPr>
        <w:t>Pasquale Fiore</w:t>
      </w:r>
      <w:r>
        <w:t xml:space="preserve"> </w:t>
      </w:r>
      <w:r>
        <w:rPr>
          <w:rStyle w:val="Hps"/>
        </w:rPr>
        <w:t>peuvent</w:t>
      </w:r>
      <w:r>
        <w:t xml:space="preserve"> </w:t>
      </w:r>
      <w:r>
        <w:rPr>
          <w:rStyle w:val="Hps"/>
        </w:rPr>
        <w:t>représenter les différentes positions « politiques »</w:t>
      </w:r>
      <w:r>
        <w:t xml:space="preserve"> </w:t>
      </w:r>
      <w:r>
        <w:rPr>
          <w:rStyle w:val="Hps"/>
        </w:rPr>
        <w:t>qui ont été discutées</w:t>
      </w:r>
      <w:r>
        <w:t>.</w:t>
      </w:r>
      <w:r>
        <w:rPr>
          <w:rStyle w:val="Hps"/>
        </w:rPr>
        <w:t xml:space="preserve"> </w:t>
      </w:r>
    </w:p>
    <w:p w:rsidR="0046662B" w:rsidRDefault="00BD4B6A">
      <w:pPr>
        <w:spacing w:line="360" w:lineRule="auto"/>
        <w:jc w:val="both"/>
      </w:pPr>
      <w:r>
        <w:rPr>
          <w:rStyle w:val="Hps"/>
        </w:rPr>
        <w:t>John West</w:t>
      </w:r>
      <w:r>
        <w:rPr>
          <w:rStyle w:val="Hps"/>
        </w:rPr>
        <w:t>lake a toujours</w:t>
      </w:r>
      <w:r>
        <w:t xml:space="preserve"> </w:t>
      </w:r>
      <w:r>
        <w:rPr>
          <w:rStyle w:val="Hps"/>
        </w:rPr>
        <w:t>exprimé des doutes</w:t>
      </w:r>
      <w:r>
        <w:t xml:space="preserve"> </w:t>
      </w:r>
      <w:r>
        <w:rPr>
          <w:rStyle w:val="Hps"/>
        </w:rPr>
        <w:t>quant à l'efficacité</w:t>
      </w:r>
      <w:r>
        <w:t xml:space="preserve"> </w:t>
      </w:r>
      <w:r>
        <w:rPr>
          <w:rStyle w:val="Hps"/>
        </w:rPr>
        <w:t>de l'arbitrage international</w:t>
      </w:r>
      <w:r>
        <w:t xml:space="preserve">, </w:t>
      </w:r>
      <w:r>
        <w:rPr>
          <w:rStyle w:val="Hps"/>
        </w:rPr>
        <w:t>il n'a pas jugé</w:t>
      </w:r>
      <w:r>
        <w:t xml:space="preserve"> </w:t>
      </w:r>
      <w:r>
        <w:rPr>
          <w:rStyle w:val="Hps"/>
        </w:rPr>
        <w:t>possible,</w:t>
      </w:r>
      <w:r>
        <w:t xml:space="preserve"> </w:t>
      </w:r>
      <w:r>
        <w:rPr>
          <w:rStyle w:val="Hps"/>
        </w:rPr>
        <w:t>et</w:t>
      </w:r>
      <w:r>
        <w:t xml:space="preserve"> il</w:t>
      </w:r>
      <w:r>
        <w:rPr>
          <w:rStyle w:val="Hps"/>
        </w:rPr>
        <w:t>légitime,</w:t>
      </w:r>
      <w:r>
        <w:t xml:space="preserve"> </w:t>
      </w:r>
      <w:r>
        <w:rPr>
          <w:rStyle w:val="Hps"/>
        </w:rPr>
        <w:t>sa transformation en</w:t>
      </w:r>
      <w:r>
        <w:t xml:space="preserve"> </w:t>
      </w:r>
      <w:r>
        <w:rPr>
          <w:rStyle w:val="Hps"/>
        </w:rPr>
        <w:t>une sorte de</w:t>
      </w:r>
      <w:r>
        <w:t xml:space="preserve"> </w:t>
      </w:r>
      <w:r>
        <w:rPr>
          <w:rStyle w:val="Hps"/>
        </w:rPr>
        <w:t>«jugement»</w:t>
      </w:r>
      <w:r>
        <w:t xml:space="preserve"> </w:t>
      </w:r>
      <w:r>
        <w:rPr>
          <w:rStyle w:val="Hps"/>
        </w:rPr>
        <w:t>international</w:t>
      </w:r>
      <w:r>
        <w:t xml:space="preserve">. Il faut, soutenait </w:t>
      </w:r>
      <w:r>
        <w:rPr>
          <w:rStyle w:val="Hps"/>
        </w:rPr>
        <w:t>Westlake</w:t>
      </w:r>
      <w:r>
        <w:t xml:space="preserve">, </w:t>
      </w:r>
      <w:r>
        <w:rPr>
          <w:rStyle w:val="Hps"/>
        </w:rPr>
        <w:t>poser la</w:t>
      </w:r>
      <w:r>
        <w:t xml:space="preserve"> </w:t>
      </w:r>
      <w:r>
        <w:rPr>
          <w:rStyle w:val="Hps"/>
        </w:rPr>
        <w:t>question des sanctions contre</w:t>
      </w:r>
      <w:r>
        <w:t xml:space="preserve"> </w:t>
      </w:r>
      <w:r>
        <w:rPr>
          <w:rStyle w:val="Hps"/>
        </w:rPr>
        <w:t>l</w:t>
      </w:r>
      <w:r>
        <w:rPr>
          <w:rStyle w:val="Hps"/>
        </w:rPr>
        <w:t>'Etat</w:t>
      </w:r>
      <w:r>
        <w:t xml:space="preserve"> </w:t>
      </w:r>
      <w:r>
        <w:rPr>
          <w:rStyle w:val="Hps"/>
        </w:rPr>
        <w:t>récalcitrant</w:t>
      </w:r>
      <w:r>
        <w:t xml:space="preserve">, tandis que </w:t>
      </w:r>
      <w:r>
        <w:rPr>
          <w:rStyle w:val="Hps"/>
        </w:rPr>
        <w:t>Fiore</w:t>
      </w:r>
      <w:r>
        <w:t xml:space="preserve"> propona</w:t>
      </w:r>
      <w:r>
        <w:rPr>
          <w:rStyle w:val="Hps"/>
        </w:rPr>
        <w:t xml:space="preserve"> le modèle</w:t>
      </w:r>
      <w:r>
        <w:t xml:space="preserve"> </w:t>
      </w:r>
      <w:r>
        <w:rPr>
          <w:rStyle w:val="Hps"/>
        </w:rPr>
        <w:t>théorique d'une</w:t>
      </w:r>
      <w:r>
        <w:t xml:space="preserve"> </w:t>
      </w:r>
      <w:r>
        <w:rPr>
          <w:rStyle w:val="Hps"/>
        </w:rPr>
        <w:t>organisation internationale d'États</w:t>
      </w:r>
      <w:r>
        <w:t xml:space="preserve"> </w:t>
      </w:r>
      <w:r>
        <w:rPr>
          <w:rStyle w:val="Hps"/>
        </w:rPr>
        <w:t>(l'ensemble</w:t>
      </w:r>
      <w:r>
        <w:t xml:space="preserve"> </w:t>
      </w:r>
      <w:r>
        <w:rPr>
          <w:rStyle w:val="Hps"/>
        </w:rPr>
        <w:t>des</w:t>
      </w:r>
      <w:r>
        <w:t xml:space="preserve"> « </w:t>
      </w:r>
      <w:r>
        <w:rPr>
          <w:rStyle w:val="Hps"/>
        </w:rPr>
        <w:t>Puissances civilisées »</w:t>
      </w:r>
      <w:r>
        <w:t xml:space="preserve">), qui </w:t>
      </w:r>
      <w:r>
        <w:rPr>
          <w:rStyle w:val="Hps"/>
        </w:rPr>
        <w:t>avait pour fonction de</w:t>
      </w:r>
      <w:r>
        <w:t xml:space="preserve"> </w:t>
      </w:r>
      <w:r>
        <w:rPr>
          <w:rStyle w:val="Hps"/>
        </w:rPr>
        <w:t>faire appliquer</w:t>
      </w:r>
      <w:r>
        <w:t xml:space="preserve"> </w:t>
      </w:r>
      <w:r>
        <w:rPr>
          <w:rStyle w:val="Hps"/>
        </w:rPr>
        <w:t>les sentences arbitrales</w:t>
      </w:r>
      <w:r>
        <w:t xml:space="preserve"> </w:t>
      </w:r>
      <w:r>
        <w:rPr>
          <w:rStyle w:val="Hps"/>
        </w:rPr>
        <w:t>et aussi de définir</w:t>
      </w:r>
      <w:r>
        <w:t xml:space="preserve"> </w:t>
      </w:r>
      <w:r>
        <w:rPr>
          <w:rStyle w:val="Hps"/>
        </w:rPr>
        <w:t xml:space="preserve">un </w:t>
      </w:r>
      <w:r>
        <w:rPr>
          <w:i/>
        </w:rPr>
        <w:t>common</w:t>
      </w:r>
      <w:r>
        <w:rPr>
          <w:i/>
        </w:rPr>
        <w:t xml:space="preserve"> code of laws</w:t>
      </w:r>
      <w:r>
        <w:rPr>
          <w:rStyle w:val="Rimandonotaapidipagina1"/>
        </w:rPr>
        <w:footnoteReference w:id="26"/>
      </w:r>
      <w:r>
        <w:t xml:space="preserve">. </w:t>
      </w:r>
    </w:p>
    <w:p w:rsidR="0046662B" w:rsidRDefault="00BD4B6A">
      <w:pPr>
        <w:spacing w:line="360" w:lineRule="auto"/>
        <w:jc w:val="both"/>
      </w:pPr>
      <w:r>
        <w:rPr>
          <w:rStyle w:val="Hps"/>
        </w:rPr>
        <w:t>Le débat, de la décennie '70 et '80,</w:t>
      </w:r>
      <w:r>
        <w:t xml:space="preserve"> </w:t>
      </w:r>
      <w:r>
        <w:rPr>
          <w:rStyle w:val="Hps"/>
        </w:rPr>
        <w:t>a dépassé</w:t>
      </w:r>
      <w:r>
        <w:t xml:space="preserve"> </w:t>
      </w:r>
      <w:r>
        <w:rPr>
          <w:rStyle w:val="Hps"/>
        </w:rPr>
        <w:t>la réflexion antérieures,</w:t>
      </w:r>
      <w:r>
        <w:t xml:space="preserve"> </w:t>
      </w:r>
      <w:r>
        <w:rPr>
          <w:rStyle w:val="Hps"/>
        </w:rPr>
        <w:t>qui</w:t>
      </w:r>
      <w:r>
        <w:t xml:space="preserve"> </w:t>
      </w:r>
      <w:r>
        <w:rPr>
          <w:rStyle w:val="Hps"/>
        </w:rPr>
        <w:t>jusqu'aux années soixante</w:t>
      </w:r>
      <w:r>
        <w:t xml:space="preserve"> </w:t>
      </w:r>
      <w:r>
        <w:rPr>
          <w:rStyle w:val="Hps"/>
        </w:rPr>
        <w:t>du XIXe siècle</w:t>
      </w:r>
      <w:r>
        <w:t xml:space="preserve"> </w:t>
      </w:r>
      <w:r>
        <w:rPr>
          <w:rStyle w:val="Hps"/>
        </w:rPr>
        <w:t>avait proposé</w:t>
      </w:r>
      <w:r>
        <w:t xml:space="preserve"> </w:t>
      </w:r>
      <w:r>
        <w:rPr>
          <w:rStyle w:val="Hps"/>
        </w:rPr>
        <w:t>organisations plus</w:t>
      </w:r>
      <w:r>
        <w:t xml:space="preserve"> </w:t>
      </w:r>
      <w:r>
        <w:rPr>
          <w:rStyle w:val="Hps"/>
        </w:rPr>
        <w:t>diplomatiques</w:t>
      </w:r>
      <w:r>
        <w:t xml:space="preserve"> </w:t>
      </w:r>
      <w:r>
        <w:rPr>
          <w:rStyle w:val="Hps"/>
        </w:rPr>
        <w:t>et judiciaires,</w:t>
      </w:r>
      <w:r>
        <w:t xml:space="preserve"> </w:t>
      </w:r>
      <w:r>
        <w:rPr>
          <w:rStyle w:val="Hps"/>
        </w:rPr>
        <w:t>peu</w:t>
      </w:r>
      <w:r>
        <w:t xml:space="preserve"> </w:t>
      </w:r>
      <w:r>
        <w:rPr>
          <w:rStyle w:val="Hps"/>
        </w:rPr>
        <w:t>formalisées</w:t>
      </w:r>
      <w:r>
        <w:t xml:space="preserve"> </w:t>
      </w:r>
      <w:r>
        <w:rPr>
          <w:rStyle w:val="Hps"/>
        </w:rPr>
        <w:t>et ne pas structurées</w:t>
      </w:r>
      <w:r>
        <w:t xml:space="preserve"> </w:t>
      </w:r>
      <w:r>
        <w:rPr>
          <w:rStyle w:val="Hps"/>
        </w:rPr>
        <w:t>au niveau institutio</w:t>
      </w:r>
      <w:r>
        <w:rPr>
          <w:rStyle w:val="Hps"/>
        </w:rPr>
        <w:t>nnel</w:t>
      </w:r>
      <w:r>
        <w:t xml:space="preserve">. </w:t>
      </w:r>
    </w:p>
    <w:p w:rsidR="0046662B" w:rsidRDefault="00BD4B6A">
      <w:pPr>
        <w:spacing w:line="360" w:lineRule="auto"/>
        <w:jc w:val="both"/>
      </w:pPr>
      <w:r>
        <w:t xml:space="preserve">Il n'est pas possible de retracer ici les nombreuses </w:t>
      </w:r>
      <w:r>
        <w:rPr>
          <w:color w:val="000000"/>
        </w:rPr>
        <w:t>avant-projet</w:t>
      </w:r>
      <w:r>
        <w:t>s proposés au cours des quarante dernières années du XIX siècle, bien que à partir de la première moitié des années soixante-dix  les analyses sur ce sujet ont identifié des « éléments</w:t>
      </w:r>
      <w:r>
        <w:t xml:space="preserve"> communs », ces éléments étaient : le caractère obligatoire de la intervention d’un tribunal permanent, les orientations communes sur les critères de la nomination des juges, mais encore mal définie, l'organisation et la composition de la Cour elle-même et</w:t>
      </w:r>
      <w:r>
        <w:t xml:space="preserve"> la procédure de sanctionner les Etats, qui ne respectent pas les décisions prises par le Tribunal. Le débat restait controversé sur les fonctions de la « juridiction internationale » qui garantissait la légitimité du Tribunal. </w:t>
      </w:r>
    </w:p>
    <w:p w:rsidR="0046662B" w:rsidRDefault="00BD4B6A">
      <w:pPr>
        <w:spacing w:line="360" w:lineRule="auto"/>
        <w:jc w:val="both"/>
      </w:pPr>
      <w:r>
        <w:t>Selon une part importante d</w:t>
      </w:r>
      <w:r>
        <w:t>es « internationalistes » français, le projet du tribunal international permanent plus intéressant et plus complet - de ces années - était celui proposé par le comte Léon Kamarowski.</w:t>
      </w:r>
    </w:p>
    <w:p w:rsidR="0046662B" w:rsidRDefault="00BD4B6A">
      <w:pPr>
        <w:spacing w:line="360" w:lineRule="auto"/>
        <w:jc w:val="both"/>
      </w:pPr>
      <w:r>
        <w:t>Le projet de Kamarowski comprenait une Cour, qui avait juridiction obliga</w:t>
      </w:r>
      <w:r>
        <w:t>toire, et était divisé en quatre départements (des droits, de la diplomatie, de la guerre, marine et du droit  international privé « sociaux » et de la protection des communications postales), en outre la Cour devait être composé des juges (d’au moins 35 a</w:t>
      </w:r>
      <w:r>
        <w:t>ns), nommés par les gouvernements des États, sur la base des programmes d'études, prévoyants la formation de quatre ans dans les tribunaux internationaux.</w:t>
      </w:r>
    </w:p>
    <w:p w:rsidR="0046662B" w:rsidRDefault="00BD4B6A">
      <w:pPr>
        <w:spacing w:line="360" w:lineRule="auto"/>
        <w:jc w:val="both"/>
      </w:pPr>
      <w:r>
        <w:t>Un autre modèle très intéressant d'un tribunal international de ces années là, (modèle si fortement i</w:t>
      </w:r>
      <w:r>
        <w:t>ntéressés par le processus d'avancement de la création des domaines coloniaux, qui se sont établis au cours de la Conférence de Berlin sur l'Afrique et le Congo en 1885), qui résumait une grande partie du débat (et il reprend certainement les sages de Patr</w:t>
      </w:r>
      <w:r>
        <w:t>ice Larroque, et même ceux de Nicolas Villiaume et Moritz Adler</w:t>
      </w:r>
      <w:r>
        <w:rPr>
          <w:rStyle w:val="Rimandonotaapidipagina1"/>
        </w:rPr>
        <w:footnoteReference w:id="27"/>
      </w:r>
      <w:r>
        <w:t xml:space="preserve">), est certainement celui qui est proposé par le volume de Guillaume </w:t>
      </w:r>
      <w:r>
        <w:rPr>
          <w:i/>
        </w:rPr>
        <w:t>Le contrat Pays internationale</w:t>
      </w:r>
      <w:r>
        <w:t xml:space="preserve"> (</w:t>
      </w:r>
      <w:r>
        <w:rPr>
          <w:i/>
        </w:rPr>
        <w:t>la Paix abolition de la guerre juridiction nominale juin internationale</w:t>
      </w:r>
      <w:r>
        <w:t>), publié en Paris e</w:t>
      </w:r>
      <w:r>
        <w:t>n 1885.</w:t>
      </w:r>
    </w:p>
    <w:p w:rsidR="0046662B" w:rsidRDefault="00BD4B6A">
      <w:pPr>
        <w:spacing w:line="360" w:lineRule="auto"/>
        <w:jc w:val="both"/>
        <w:rPr>
          <w:rStyle w:val="Rimandonotaapidipagina3"/>
        </w:rPr>
      </w:pPr>
      <w:r>
        <w:t>Ce travail, outre en exhortant la formation d'un comité permanent de juristes et de diplomates chargés de rédiger le code de droit international, préfigurait une Cour de 112 juges nommés à vie, représentants de la « communauté internationale » comp</w:t>
      </w:r>
      <w:r>
        <w:t>osée de 46 pays (presque tous les continents ). Le nombre de juges affectés à chaque Etat a été calculé sur la base d'un calcul complexe (ou d’une pondération) sur la population, le volume du commerce et des finances publiques. La sélection des juges ont a</w:t>
      </w:r>
      <w:r>
        <w:t>lors dû tomber sur une sorte d'assemblée de diplomates, nommés par les Etats.</w:t>
      </w:r>
      <w:r>
        <w:rPr>
          <w:rStyle w:val="Caratteredellanota"/>
        </w:rPr>
        <w:t xml:space="preserve"> (</w:t>
      </w:r>
      <w:r>
        <w:rPr>
          <w:rStyle w:val="Hps"/>
        </w:rPr>
        <w:t>Dans cet essai</w:t>
      </w:r>
      <w:r>
        <w:t xml:space="preserve">, </w:t>
      </w:r>
      <w:r>
        <w:rPr>
          <w:rStyle w:val="Hps"/>
        </w:rPr>
        <w:t>le profil professionnel</w:t>
      </w:r>
      <w:r>
        <w:t xml:space="preserve"> </w:t>
      </w:r>
      <w:r>
        <w:rPr>
          <w:rStyle w:val="Hps"/>
        </w:rPr>
        <w:t>du juge</w:t>
      </w:r>
      <w:r>
        <w:t xml:space="preserve"> </w:t>
      </w:r>
      <w:r>
        <w:rPr>
          <w:rStyle w:val="Hps"/>
        </w:rPr>
        <w:t>n'est pas encore défini</w:t>
      </w:r>
      <w:r>
        <w:t xml:space="preserve">. </w:t>
      </w:r>
      <w:r>
        <w:rPr>
          <w:rStyle w:val="Hps"/>
        </w:rPr>
        <w:t>Les raisons</w:t>
      </w:r>
      <w:r>
        <w:t xml:space="preserve"> </w:t>
      </w:r>
      <w:r>
        <w:rPr>
          <w:rStyle w:val="Hps"/>
        </w:rPr>
        <w:t>sont d'ordre politique</w:t>
      </w:r>
      <w:r>
        <w:t xml:space="preserve">, </w:t>
      </w:r>
      <w:r>
        <w:rPr>
          <w:rStyle w:val="Hps"/>
        </w:rPr>
        <w:t>un tribunal composé</w:t>
      </w:r>
      <w:r>
        <w:t xml:space="preserve"> </w:t>
      </w:r>
      <w:r>
        <w:rPr>
          <w:rStyle w:val="Hps"/>
        </w:rPr>
        <w:t>de juges professionnels</w:t>
      </w:r>
      <w:r>
        <w:t xml:space="preserve"> </w:t>
      </w:r>
      <w:r>
        <w:rPr>
          <w:rStyle w:val="Hps"/>
        </w:rPr>
        <w:t>auraient probablement ét</w:t>
      </w:r>
      <w:r>
        <w:rPr>
          <w:rStyle w:val="Hps"/>
        </w:rPr>
        <w:t>é</w:t>
      </w:r>
      <w:r>
        <w:t xml:space="preserve"> </w:t>
      </w:r>
      <w:r>
        <w:rPr>
          <w:rStyle w:val="Hps"/>
        </w:rPr>
        <w:t>rejetée par les États).</w:t>
      </w:r>
      <w:r>
        <w:rPr>
          <w:rStyle w:val="Rimandonotaapidipagina3"/>
        </w:rPr>
        <w:t xml:space="preserve"> </w:t>
      </w:r>
    </w:p>
    <w:p w:rsidR="0046662B" w:rsidRDefault="00BD4B6A">
      <w:pPr>
        <w:spacing w:line="360" w:lineRule="auto"/>
        <w:jc w:val="both"/>
        <w:rPr>
          <w:rStyle w:val="Rimandonotaapidipagina3"/>
          <w:vertAlign w:val="baseline"/>
        </w:rPr>
      </w:pPr>
      <w:r>
        <w:rPr>
          <w:rStyle w:val="Rimandonotaapidipagina3"/>
          <w:vertAlign w:val="baseline"/>
        </w:rPr>
        <w:t>Ce volume était venu, au moins en théorie, à l'institutionnalisation complète de la justice internationale, en parvenant à un modèle d'un tribunal international, qui a dépassé la théorie de la légitimité de lequel arbitral.</w:t>
      </w:r>
    </w:p>
    <w:p w:rsidR="0046662B" w:rsidRDefault="00BD4B6A">
      <w:pPr>
        <w:spacing w:line="360" w:lineRule="auto"/>
        <w:jc w:val="both"/>
      </w:pPr>
      <w:r>
        <w:t xml:space="preserve">Dans </w:t>
      </w:r>
      <w:r>
        <w:t>ce  moment, le recours à l'arbitrage était devenu une pierre angulaire de la politique étrangère des Etats, surtout, lorsque la reine Victoria fut déterminée à promouvoir un système d'utilisation  d'arbitrage permanent, comme  Henry Richard avait demandé (</w:t>
      </w:r>
      <w:r>
        <w:t>il était le secrétaire de la Société de la Paix) dans un célèbre discours à la Chambre des Communes, puis adopté par les gouvernements de plusieurs pays européens</w:t>
      </w:r>
      <w:r>
        <w:rPr>
          <w:rStyle w:val="Rimandonotaapidipagina1"/>
        </w:rPr>
        <w:footnoteReference w:id="28"/>
      </w:r>
      <w:r>
        <w:t>.</w:t>
      </w:r>
    </w:p>
    <w:p w:rsidR="0046662B" w:rsidRDefault="00BD4B6A">
      <w:pPr>
        <w:spacing w:line="360" w:lineRule="auto"/>
        <w:jc w:val="both"/>
      </w:pPr>
      <w:r>
        <w:t>L'acceptation de l'arbitrage international fut soutenu par l’activité du</w:t>
      </w:r>
      <w:r>
        <w:rPr>
          <w:i/>
        </w:rPr>
        <w:t xml:space="preserve"> Universal Peace Co</w:t>
      </w:r>
      <w:r>
        <w:rPr>
          <w:i/>
        </w:rPr>
        <w:t>ngress</w:t>
      </w:r>
      <w:r>
        <w:t xml:space="preserve"> et en particulier de l'Union Interparlementaire, dirigée par William Randall Cremer et Passy Frédréric</w:t>
      </w:r>
      <w:r>
        <w:rPr>
          <w:rStyle w:val="Caratteredellanota"/>
        </w:rPr>
        <w:footnoteReference w:id="29"/>
      </w:r>
      <w:r>
        <w:t xml:space="preserve">. </w:t>
      </w:r>
    </w:p>
    <w:p w:rsidR="0046662B" w:rsidRDefault="00BD4B6A">
      <w:pPr>
        <w:spacing w:line="360" w:lineRule="auto"/>
        <w:jc w:val="both"/>
      </w:pPr>
      <w:r>
        <w:t>Malgré l'introduction partagée de l'arbitrage, le début d'un processus de construction d'un tribunal international, l'institution judiciaire, f</w:t>
      </w:r>
      <w:r>
        <w:t>ut toujours contrecarré (contrarié), ne pas  seulement par les gouvernements des pays européens. Par ailleurs, en vingt ans, entre les années soixante-dix et quatre vents dix, les interventions parlementaires (que J’ai compté), crédibles en termes de propo</w:t>
      </w:r>
      <w:r>
        <w:t>sition politique et réclamantes, avec une certaine force, la mise en place d'un tribunal international, elles étaient eu très peu</w:t>
      </w:r>
      <w:r>
        <w:rPr>
          <w:rStyle w:val="Rimandonotaapidipagina3"/>
        </w:rPr>
        <w:footnoteReference w:id="30"/>
      </w:r>
      <w:r>
        <w:t xml:space="preserve">. </w:t>
      </w:r>
    </w:p>
    <w:p w:rsidR="0046662B" w:rsidRDefault="00BD4B6A">
      <w:pPr>
        <w:spacing w:line="360" w:lineRule="auto"/>
        <w:jc w:val="both"/>
      </w:pPr>
      <w:r>
        <w:t xml:space="preserve">Bien sûr, l’écart entre un tribunal arbitral et un tribunal qui intervient pour sanctionner les Etats et leurs dirigeants, </w:t>
      </w:r>
      <w:r>
        <w:t xml:space="preserve">était considérable et, de la même manière, le choix entre un tribunal, composé de diplomates et des experts en droit international et un tribunal composé de juges,  était décisive sur le niveau politique. </w:t>
      </w:r>
    </w:p>
    <w:p w:rsidR="0046662B" w:rsidRDefault="00BD4B6A">
      <w:pPr>
        <w:spacing w:line="360" w:lineRule="auto"/>
        <w:jc w:val="both"/>
      </w:pPr>
      <w:r>
        <w:t>En fait, en 1890, lorsque certains délégués améric</w:t>
      </w:r>
      <w:r>
        <w:t>ains, au cours des travaux du Congrès de la Paix à Londres, ont présenté un projet pour la création d'une Cour permanente, ils ont rencontré l'hostilité des délégués «continentaux», en particulier des Allemands, inquiets de l'impact inévitable sur le probl</w:t>
      </w:r>
      <w:r>
        <w:t>ème de la légitimité des sanctions imposées par un tribunal international, qui pourrait affecter, à leur avis, le fondement même de la souveraineté des États.</w:t>
      </w:r>
    </w:p>
    <w:p w:rsidR="0046662B" w:rsidRDefault="00BD4B6A">
      <w:pPr>
        <w:spacing w:line="360" w:lineRule="auto"/>
        <w:jc w:val="both"/>
      </w:pPr>
      <w:r>
        <w:t>Avec la création de plusieurs commissions d'étude pendant le Congrès universel de la Paix à Chica</w:t>
      </w:r>
      <w:r>
        <w:t>go en 1893 et á Anvers l'année suivante, puis lors de la Conférence interparlementaire à La Haye en 1894, devait se concrétiser un projet de tribunal international, appelé Descamps, le nom du président du comité juridiques, qui reconnait le droit des États</w:t>
      </w:r>
      <w:r>
        <w:t xml:space="preserve"> de recourir à la guerre dans les cas de défense de sa souveraineté, mais il ne exclurait pas la possibilité de recourir à l'application d'un arbitrage á travers de une Cour internationale des arbitres</w:t>
      </w:r>
      <w:r>
        <w:rPr>
          <w:rStyle w:val="Caratteredellanota"/>
        </w:rPr>
        <w:footnoteReference w:id="31"/>
      </w:r>
      <w:r>
        <w:t xml:space="preserve">. </w:t>
      </w:r>
    </w:p>
    <w:p w:rsidR="0046662B" w:rsidRDefault="00BD4B6A">
      <w:pPr>
        <w:spacing w:line="360" w:lineRule="auto"/>
        <w:jc w:val="both"/>
      </w:pPr>
      <w:r>
        <w:t>Le projet a pris forme, d'abord lors du débat au se</w:t>
      </w:r>
      <w:r>
        <w:t>in du Congrès de Rome de l'Union interparlementaire, qui s'est tenue en 1891 et a ensuite été repris trois ans plus tard par un délégué, Philip Stanhope, qui a appelé à la création d'un tribunal d'arbitrage</w:t>
      </w:r>
      <w:r>
        <w:rPr>
          <w:i/>
        </w:rPr>
        <w:t xml:space="preserve"> </w:t>
      </w:r>
      <w:r>
        <w:t>(</w:t>
      </w:r>
      <w:r>
        <w:rPr>
          <w:i/>
        </w:rPr>
        <w:t>arbitration court</w:t>
      </w:r>
      <w:r>
        <w:t>), légitimité par un Conseil eu</w:t>
      </w:r>
      <w:r>
        <w:t>ropéen des Grandes Puissances</w:t>
      </w:r>
      <w:r>
        <w:rPr>
          <w:rStyle w:val="Caratteredellanota"/>
        </w:rPr>
        <w:footnoteReference w:id="32"/>
      </w:r>
      <w:r>
        <w:t>. (Cettes idées ont été exprimées déjà par le Premier ministre britannique, Gladstone, lors d'un discours à la Chambre des Communes)</w:t>
      </w:r>
    </w:p>
    <w:p w:rsidR="0046662B" w:rsidRDefault="00BD4B6A">
      <w:pPr>
        <w:spacing w:line="360" w:lineRule="auto"/>
        <w:jc w:val="both"/>
      </w:pPr>
      <w:r>
        <w:t>Autrement dit, la tentative d'aller au-delà de la frontière politique, marqué par une aversio</w:t>
      </w:r>
      <w:r>
        <w:t>n pour la création d'une institution judiciaire internationale, prenait la forme.</w:t>
      </w:r>
    </w:p>
    <w:p w:rsidR="0046662B" w:rsidRDefault="00BD4B6A">
      <w:pPr>
        <w:spacing w:line="360" w:lineRule="auto"/>
        <w:jc w:val="both"/>
      </w:pPr>
      <w:r>
        <w:t>Mais, dans l'IPU, cependant, une rupture s’était aggravé entre les délégués de la zone germanique et les français, non seulement pour différentes vues sur le choix de l'instr</w:t>
      </w:r>
      <w:r>
        <w:t xml:space="preserve">ument juridique le plus approprié entre les procédures d'arbitrage et le modèle judiciaire </w:t>
      </w:r>
      <w:r>
        <w:rPr>
          <w:i/>
        </w:rPr>
        <w:t>adjudication</w:t>
      </w:r>
      <w:r>
        <w:t xml:space="preserve"> - qui exigeait d’une Cour de juges « professionnels » - à utiliser dans la résolution des conflits internationaux, en plus des politiques de coopération</w:t>
      </w:r>
      <w:r>
        <w:t xml:space="preserve"> et de diplomatie, mais aussi sur des préoccupations, partagées par des nombreux juristes, que le tribunal ne pouvait pas disposer d'un droit international, qui, dans ces décennies, était en cours de développement. </w:t>
      </w:r>
    </w:p>
    <w:p w:rsidR="0046662B" w:rsidRDefault="00BD4B6A">
      <w:pPr>
        <w:spacing w:line="360" w:lineRule="auto"/>
        <w:jc w:val="both"/>
      </w:pPr>
      <w:r>
        <w:t>En 1895, l'avant-projet d'un tribunal d'</w:t>
      </w:r>
      <w:r>
        <w:t>arbitrage international, construit par Charles Auguste Houzeau de Lehaie Benjamin, président de l'étude de l'Union interparlementaire, visa à dépasser celui de Descamps.</w:t>
      </w:r>
    </w:p>
    <w:p w:rsidR="0046662B" w:rsidRDefault="00BD4B6A">
      <w:pPr>
        <w:spacing w:line="360" w:lineRule="auto"/>
        <w:jc w:val="both"/>
      </w:pPr>
      <w:r>
        <w:t>Le projet, composé de 15 articles, prévoit la création d'un Conseil d'arbitres, choisi</w:t>
      </w:r>
      <w:r>
        <w:t>s par les Etats, et d'un bureau central ; cettes institutions se fondaient sur la «bonne volonté» des gouvernements et ne pouvait pas recourir à la sentence, comme un moyen de résoudre les conflits entre États.</w:t>
      </w:r>
    </w:p>
    <w:p w:rsidR="0046662B" w:rsidRDefault="00BD4B6A">
      <w:pPr>
        <w:spacing w:line="360" w:lineRule="auto"/>
        <w:jc w:val="both"/>
      </w:pPr>
      <w:r>
        <w:t>En dépit de la fragilité, la proposition a fo</w:t>
      </w:r>
      <w:r>
        <w:t>rmalisé une Cour internationale permanente. Ce projet a été présenté l'année suivante (1896) dans un lieu prestigieux comme le congrès de la Conférence américaine sur l'arbitrage international</w:t>
      </w:r>
      <w:r>
        <w:rPr>
          <w:i/>
        </w:rPr>
        <w:t xml:space="preserve"> American Conference on International arbitration</w:t>
      </w:r>
      <w:r>
        <w:t>, qui s'est ten</w:t>
      </w:r>
      <w:r>
        <w:t>ue à Washington.</w:t>
      </w:r>
    </w:p>
    <w:p w:rsidR="0046662B" w:rsidRDefault="00BD4B6A">
      <w:pPr>
        <w:spacing w:line="360" w:lineRule="auto"/>
        <w:jc w:val="both"/>
      </w:pPr>
      <w:r>
        <w:t>Sur le niveau politique, les associations nord-américaines passé à l'action, quand, en 1896, l'Association du Barreau de l'État de New York a officiellement proposé au président des États-Unis, Grover Cleveland, de lancer une action d'enve</w:t>
      </w:r>
      <w:r>
        <w:t>rgure diplomatique était destiné à soutenir l' organisation d'une Cour internationale permanente</w:t>
      </w:r>
      <w:r>
        <w:rPr>
          <w:i/>
        </w:rPr>
        <w:t xml:space="preserve"> Permanent International Court</w:t>
      </w:r>
      <w:r>
        <w:t>, composée de neuf juges nommés par les Cours suprêmes des Nations parmi leurs juges nationales, et mis dans une position d' inter</w:t>
      </w:r>
      <w:r>
        <w:t>vention dans les conflits entre les États. Mais en 1897, le Sénat américain (responsables, en vertu de la Constitution, du contrôle de la politique étrangère) fait faillite le traité Onley-Pauncefote entre les États-Unis et la Grande-Bretagne (qui a été la</w:t>
      </w:r>
      <w:r>
        <w:t xml:space="preserve"> première «expérience» d'un accord bilatéral qui établissait</w:t>
      </w:r>
      <w:r>
        <w:rPr>
          <w:b/>
        </w:rPr>
        <w:t xml:space="preserve"> </w:t>
      </w:r>
      <w:r>
        <w:t>le recours à l'arbitrage pour tous les conflits entre les deux pays</w:t>
      </w:r>
      <w:r>
        <w:rPr>
          <w:rStyle w:val="Rimandonotaapidipagina1"/>
        </w:rPr>
        <w:footnoteReference w:id="33"/>
      </w:r>
      <w:r>
        <w:t>.</w:t>
      </w:r>
    </w:p>
    <w:p w:rsidR="0046662B" w:rsidRDefault="00BD4B6A">
      <w:pPr>
        <w:spacing w:line="360" w:lineRule="auto"/>
        <w:jc w:val="both"/>
      </w:pPr>
      <w:r>
        <w:t xml:space="preserve">Près de manière inattendue, après de nombreux échecs, la première tentative réussie de créer un organisme avec lequel régler </w:t>
      </w:r>
      <w:r>
        <w:t xml:space="preserve">les différends internationaux à travers des actions d'arbitrage et des traité d'arbitrage permanent, a été la Conférence de paix de 1899. </w:t>
      </w:r>
    </w:p>
    <w:p w:rsidR="0046662B" w:rsidRDefault="00BD4B6A">
      <w:pPr>
        <w:spacing w:line="360" w:lineRule="auto"/>
        <w:jc w:val="both"/>
      </w:pPr>
      <w:r>
        <w:t>Un effort qui a reçu une confirmation à la deuxième conférence de 1907, dans laquelle, comme on le sait, il y a eu le</w:t>
      </w:r>
      <w:r>
        <w:t>s premières actions politique en faveur de la création d’une Cour internationale - quoique toujours fortement liée aux intérêts des Etats - pour protéger aussi l'intégrité et la dignité de l'individu et des victimes de la guerre, avec l'introduction des ré</w:t>
      </w:r>
      <w:r>
        <w:t>solutions qui imposaient un traitement humanitaire des prisonniers et la protection des populations civiles.</w:t>
      </w:r>
    </w:p>
    <w:p w:rsidR="0046662B" w:rsidRDefault="00BD4B6A">
      <w:pPr>
        <w:spacing w:line="360" w:lineRule="auto"/>
        <w:jc w:val="both"/>
      </w:pPr>
      <w:r>
        <w:t>Presque paradoxalement, la Russie, qui n'a pas participé avec des représentants á des réunions de l'Union interparlementaire, parce qu'il n'était p</w:t>
      </w:r>
      <w:r>
        <w:t>as un état «parlementaire», a organisé la première conférence multilatérale. Convoqué par le Tsar, la Conférence, ainsi que de discuter d'un possible accord sous forme de réduction des armements, a cherché à mettre fin à la rédaction d'un code de droit hum</w:t>
      </w:r>
      <w:r>
        <w:t>anitaire de la guerre, depuis des décennies à l'étude des meilleurs juristes européens.</w:t>
      </w:r>
      <w:r>
        <w:rPr>
          <w:rStyle w:val="Rimandonotaapidipagina3"/>
        </w:rPr>
        <w:t xml:space="preserve"> </w:t>
      </w:r>
      <w:r>
        <w:rPr>
          <w:rStyle w:val="Rimandonotaapidipagina3"/>
        </w:rPr>
        <w:footnoteReference w:id="34"/>
      </w:r>
    </w:p>
    <w:p w:rsidR="0046662B" w:rsidRDefault="00BD4B6A">
      <w:pPr>
        <w:spacing w:line="360" w:lineRule="auto"/>
        <w:jc w:val="both"/>
      </w:pPr>
      <w:r>
        <w:t>Au cours de la première conférence, l'assemblée des délégués a formé un comité d'examen du projet de tribunal arbitral, sous la présidence de Edouard Descamps (à ce m</w:t>
      </w:r>
      <w:r>
        <w:t>oment-là peut-être le politicien le plus influent sur ces questions), qui a examiné trois projets sur l’institutionnalisation de la Cour internationale, présentés par les délégations britannique (présenté par Julian Pauncefote rapidement), ensuite suivi, q</w:t>
      </w:r>
      <w:r>
        <w:t>uelques jours plus tard, par la délégation russe et américaine, soutenu par Holls Fredericks</w:t>
      </w:r>
      <w:r>
        <w:rPr>
          <w:rStyle w:val="Rimandonotaapidipagina1"/>
        </w:rPr>
        <w:footnoteReference w:id="35"/>
      </w:r>
      <w:r>
        <w:t xml:space="preserve">. </w:t>
      </w:r>
    </w:p>
    <w:p w:rsidR="0046662B" w:rsidRDefault="00BD4B6A">
      <w:pPr>
        <w:spacing w:line="360" w:lineRule="auto"/>
        <w:jc w:val="both"/>
      </w:pPr>
      <w:r>
        <w:t>Ces projets représentent les orientations politiques et institutionnelles que nous avons essayé de rendre compte jusqu'à présent et, bien que ils partissent d'</w:t>
      </w:r>
      <w:r>
        <w:t>une approche politique commune, comme l'introduction de l'arbitrage, et d'abord arrivassent à une configuration différente de la Cour internationale, dans le même temps les trois projets proposèrent la création d'un Bureau permanent international, qui orga</w:t>
      </w:r>
      <w:r>
        <w:t>nisait une structure minimale d'intervention en cas d'une demande formulée par un Etat d'une résolution d'arbitrage d'un conflit, pas gérable par la diplomatie.</w:t>
      </w:r>
    </w:p>
    <w:p w:rsidR="0046662B" w:rsidRDefault="00BD4B6A">
      <w:pPr>
        <w:spacing w:line="360" w:lineRule="auto"/>
        <w:jc w:val="both"/>
      </w:pPr>
      <w:r>
        <w:t>Le modèle britannique a été fondé sur l'établissement d'une «liste des membres» de la Cour, sur</w:t>
      </w:r>
      <w:r>
        <w:t xml:space="preserve"> la base d'un libre choix des arbitres par les Etats signataires de la Convention, et sur la mise en place d'un « Conseil d'administration permanent », composée des représentants diplomatiques des Puissances accrédités à La Haye, sous la présidence du mini</w:t>
      </w:r>
      <w:r>
        <w:t>stre des Affaires étrangères des Pays-Bas.</w:t>
      </w:r>
    </w:p>
    <w:p w:rsidR="0046662B" w:rsidRDefault="00BD4B6A">
      <w:pPr>
        <w:spacing w:line="360" w:lineRule="auto"/>
        <w:jc w:val="both"/>
      </w:pPr>
      <w:r>
        <w:t>La proposition de la Russie, cependant, tournait autour d'un Bureau Permanent, imposée par les cinq pays les plus puissants de la Conférence de la Paix (Russie, Grande-Bretagne, Etats-Unis, la France et l'Allemagn</w:t>
      </w:r>
      <w:r>
        <w:t>e), qui «informera» les chancelleries européennes des demandes d'arbitrage et les États étaient alors tenus de désigner un juge, en cas de demande de résolution par arbitrage.</w:t>
      </w:r>
    </w:p>
    <w:p w:rsidR="0046662B" w:rsidRDefault="00BD4B6A">
      <w:pPr>
        <w:spacing w:line="360" w:lineRule="auto"/>
        <w:jc w:val="both"/>
      </w:pPr>
      <w:r>
        <w:t>Le projet américain était différent dans la structure des modèles précédents, ca</w:t>
      </w:r>
      <w:r>
        <w:t>r il proposait la nomination des juges du Tribunal international, à travers la nomination, par les Cours suprêmes des États, parties à la Convention, et la création d'une Cour avec sa propre compétence, qui imposait l'intervention de l’action des juges dan</w:t>
      </w:r>
      <w:r>
        <w:t>s les cas de conflits entre États.</w:t>
      </w:r>
    </w:p>
    <w:p w:rsidR="0046662B" w:rsidRDefault="00BD4B6A">
      <w:pPr>
        <w:spacing w:line="360" w:lineRule="auto"/>
        <w:jc w:val="both"/>
      </w:pPr>
      <w:r>
        <w:t>Ensuite, le Président Edouard Descamps a présenté, rapidement, un projet, qui a également tenu compte de l’opinion</w:t>
      </w:r>
      <w:r>
        <w:rPr>
          <w:b/>
        </w:rPr>
        <w:t xml:space="preserve"> </w:t>
      </w:r>
      <w:r>
        <w:t>contraire, défendue par les délégués allemands, à l'utilisation obligatoire de l'arbitrage, vue, presque e</w:t>
      </w:r>
      <w:r>
        <w:t>xclusivement, comme une restriction de la souveraineté du monarque et de l'indépendance de la nation</w:t>
      </w:r>
      <w:r>
        <w:rPr>
          <w:rStyle w:val="Rimandonotaapidipagina3"/>
        </w:rPr>
        <w:footnoteReference w:id="36"/>
      </w:r>
      <w:r>
        <w:t> ; alors que la délégation française avait exprimé un fort soutien politique et avait invoqué l'introduction du principe de la liberté d'utilisation du tri</w:t>
      </w:r>
      <w:r>
        <w:t>bunal permanent et de la sélection des juges</w:t>
      </w:r>
      <w:r>
        <w:rPr>
          <w:rStyle w:val="Rimandonotaapidipagina1"/>
        </w:rPr>
        <w:footnoteReference w:id="37"/>
      </w:r>
      <w:r>
        <w:t xml:space="preserve">. </w:t>
      </w:r>
    </w:p>
    <w:p w:rsidR="0046662B" w:rsidRDefault="0046662B">
      <w:pPr>
        <w:spacing w:line="360" w:lineRule="auto"/>
        <w:jc w:val="both"/>
      </w:pPr>
    </w:p>
    <w:p w:rsidR="0046662B" w:rsidRDefault="00BD4B6A">
      <w:pPr>
        <w:spacing w:line="360" w:lineRule="auto"/>
        <w:jc w:val="both"/>
      </w:pPr>
      <w:r>
        <w:t>Le projet - qui émergea de la commission de la Conférence de La Haye -  était très proche de la proposition britannique d'un tribunal international permanent; il a suivi, même idéalement, les discussions sur</w:t>
      </w:r>
      <w:r>
        <w:t xml:space="preserve"> l'introduction de l'arbitrage et de la résolution pacifique des conflits, qui avaient traversé le congrès des associations pacifistes, au cours des cinquante </w:t>
      </w:r>
      <w:r>
        <w:rPr>
          <w:rStyle w:val="Hps"/>
        </w:rPr>
        <w:t xml:space="preserve">dernières </w:t>
      </w:r>
      <w:r>
        <w:t>années. Le Comité de juristes de la Conférence de L’Haye, par conséquent, approuva la p</w:t>
      </w:r>
      <w:r>
        <w:t xml:space="preserve">roposition de créer un tribunal international composé d'une «liste des juges» (personnalités reconnues dans le droit international et compétentes juges professionnels), nommée par les Puissances signataires, avec d'une juridiction «spécial» et d'un Bureau </w:t>
      </w:r>
      <w:r>
        <w:t>résidant dans la Haye, bien que la fonction arbitraire pouvaient également être exercé par les chefs d'Etat aussi (articles 55-56).</w:t>
      </w:r>
    </w:p>
    <w:p w:rsidR="0046662B" w:rsidRDefault="00BD4B6A">
      <w:pPr>
        <w:spacing w:line="360" w:lineRule="auto"/>
        <w:jc w:val="both"/>
      </w:pPr>
      <w:r>
        <w:t>Bien que les discussions à La Haye aient donné une impulsion décisive, grâce au dynamisme diplomatique</w:t>
      </w:r>
      <w:r>
        <w:t xml:space="preserve"> du président américain Theodore Roosevelt, malheureusement, la première réunion de la Conférence de La Haye, alors que approuvant la proposition de la création d'une Cour d'arbitrage international, momentanément gela la mise en place de la Cour et de sa j</w:t>
      </w:r>
      <w:r>
        <w:t>uridiction, tandis que l'introduction d'une procédure «spécial» arbitral que les États pouvaient appliquer, si ils la jugeaient approprié politiquement. Lors de travail de la deuxième Conférence dans la ville néerlandaise, ce sera défini le rôle de la Cour</w:t>
      </w:r>
      <w:r>
        <w:t xml:space="preserve"> d'arbitrage international.</w:t>
      </w:r>
    </w:p>
    <w:p w:rsidR="0046662B" w:rsidRDefault="0046662B">
      <w:pPr>
        <w:spacing w:line="360" w:lineRule="auto"/>
        <w:jc w:val="both"/>
      </w:pPr>
    </w:p>
    <w:p w:rsidR="0046662B" w:rsidRDefault="0046662B">
      <w:pPr>
        <w:spacing w:line="360" w:lineRule="auto"/>
        <w:jc w:val="both"/>
      </w:pPr>
    </w:p>
    <w:sectPr w:rsidR="0046662B">
      <w:footerReference w:type="even" r:id="rId8"/>
      <w:footerReference w:type="default" r:id="rId9"/>
      <w:pgSz w:w="11906" w:h="16838"/>
      <w:pgMar w:top="2696" w:right="2267" w:bottom="2157" w:left="212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B6A" w:rsidRDefault="00BD4B6A">
      <w:r>
        <w:separator/>
      </w:r>
    </w:p>
  </w:endnote>
  <w:endnote w:type="continuationSeparator" w:id="0">
    <w:p w:rsidR="00BD4B6A" w:rsidRDefault="00BD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62B" w:rsidRDefault="00BD4B6A">
    <w:pPr>
      <w:pStyle w:val="Pidipagina"/>
      <w:rPr>
        <w:rStyle w:val="Numeropagina1"/>
      </w:rPr>
    </w:pPr>
    <w:r>
      <w:fldChar w:fldCharType="begin"/>
    </w:r>
    <w:r>
      <w:instrText xml:space="preserve">PAGE  </w:instrText>
    </w:r>
    <w:r>
      <w:fldChar w:fldCharType="separate"/>
    </w:r>
    <w:r>
      <w:rPr>
        <w:rStyle w:val="Numeropagina1"/>
      </w:rPr>
      <w:t>*</w:t>
    </w:r>
    <w:r>
      <w:fldChar w:fldCharType="end"/>
    </w:r>
  </w:p>
  <w:p w:rsidR="0046662B" w:rsidRDefault="0046662B">
    <w:pPr>
      <w:pStyle w:val="Pidipagina"/>
      <w:ind w:right="360"/>
    </w:pPr>
  </w:p>
  <w:p w:rsidR="0046662B" w:rsidRDefault="004666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62B" w:rsidRDefault="00BD4B6A">
    <w:pPr>
      <w:pStyle w:val="Pidipagina"/>
      <w:rPr>
        <w:rStyle w:val="Numeropagina1"/>
      </w:rPr>
    </w:pPr>
    <w:r>
      <w:fldChar w:fldCharType="begin"/>
    </w:r>
    <w:r>
      <w:instrText xml:space="preserve">PAGE  </w:instrText>
    </w:r>
    <w:r>
      <w:fldChar w:fldCharType="separate"/>
    </w:r>
    <w:r w:rsidR="00264F6B">
      <w:rPr>
        <w:noProof/>
      </w:rPr>
      <w:t>1</w:t>
    </w:r>
    <w:r>
      <w:fldChar w:fldCharType="end"/>
    </w:r>
  </w:p>
  <w:p w:rsidR="0046662B" w:rsidRDefault="0046662B">
    <w:pPr>
      <w:pStyle w:val="Pidipagina"/>
      <w:ind w:right="360"/>
    </w:pPr>
  </w:p>
  <w:p w:rsidR="0046662B" w:rsidRDefault="004666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B6A" w:rsidRDefault="00BD4B6A">
      <w:r>
        <w:separator/>
      </w:r>
    </w:p>
  </w:footnote>
  <w:footnote w:type="continuationSeparator" w:id="0">
    <w:p w:rsidR="00BD4B6A" w:rsidRDefault="00BD4B6A">
      <w:r>
        <w:continuationSeparator/>
      </w:r>
    </w:p>
  </w:footnote>
  <w:footnote w:id="1">
    <w:p w:rsidR="0046662B" w:rsidRDefault="00BD4B6A">
      <w:pPr>
        <w:jc w:val="both"/>
        <w:rPr>
          <w:rFonts w:ascii="Garamond" w:hAnsi="Garamond"/>
          <w:sz w:val="18"/>
        </w:rPr>
      </w:pPr>
      <w:r>
        <w:rPr>
          <w:rStyle w:val="Rimandonotaapidipagina1"/>
          <w:rFonts w:ascii="Garamond" w:hAnsi="Garamond"/>
          <w:sz w:val="18"/>
        </w:rPr>
        <w:footnoteRef/>
      </w:r>
      <w:r>
        <w:rPr>
          <w:rFonts w:ascii="Garamond" w:hAnsi="Garamond"/>
          <w:sz w:val="18"/>
        </w:rPr>
        <w:t xml:space="preserve"> Le droit mou (soft law) est un ensemble de règles dont la « juridicité » est discutée. Ce sont des règles de droit non oblig</w:t>
      </w:r>
      <w:r>
        <w:rPr>
          <w:rFonts w:ascii="Garamond" w:hAnsi="Garamond"/>
          <w:sz w:val="18"/>
        </w:rPr>
        <w:t xml:space="preserve">atoires, ce qui est </w:t>
      </w:r>
      <w:r>
        <w:rPr>
          <w:rFonts w:ascii="Garamond" w:hAnsi="Garamond"/>
          <w:i/>
          <w:sz w:val="18"/>
        </w:rPr>
        <w:t>a priori</w:t>
      </w:r>
      <w:r>
        <w:rPr>
          <w:rFonts w:ascii="Garamond" w:hAnsi="Garamond"/>
          <w:sz w:val="18"/>
        </w:rPr>
        <w:t xml:space="preserve"> contraire à l'essence du droit. Un texte crée du </w:t>
      </w:r>
      <w:r>
        <w:rPr>
          <w:rFonts w:ascii="Garamond" w:hAnsi="Garamond"/>
          <w:i/>
          <w:sz w:val="18"/>
        </w:rPr>
        <w:t>droit mou</w:t>
      </w:r>
      <w:r>
        <w:rPr>
          <w:rFonts w:ascii="Garamond" w:hAnsi="Garamond"/>
          <w:sz w:val="18"/>
        </w:rPr>
        <w:t xml:space="preserve"> quand il se contente de conseiller, sans pose d’obligation juridiquement sanctionnée.</w:t>
      </w:r>
    </w:p>
    <w:p w:rsidR="0046662B" w:rsidRDefault="0046662B">
      <w:pPr>
        <w:jc w:val="both"/>
      </w:pPr>
    </w:p>
  </w:footnote>
  <w:footnote w:id="2">
    <w:p w:rsidR="0046662B" w:rsidRDefault="00BD4B6A">
      <w:pPr>
        <w:pStyle w:val="Testonotaapidipagina1"/>
        <w:jc w:val="both"/>
      </w:pPr>
      <w:r>
        <w:rPr>
          <w:rStyle w:val="Rimandonotaapidipagina1"/>
          <w:rFonts w:ascii="Garamond" w:hAnsi="Garamond" w:cs="Calibri"/>
          <w:sz w:val="18"/>
        </w:rPr>
        <w:footnoteRef/>
      </w:r>
      <w:r>
        <w:rPr>
          <w:rFonts w:ascii="Garamond" w:hAnsi="Garamond"/>
          <w:sz w:val="18"/>
        </w:rPr>
        <w:t xml:space="preserve"> Sécrétan, Larroque, Henry, Marchand, Ahrens, de Martens, Halschner, Kubler, Ott</w:t>
      </w:r>
      <w:r>
        <w:rPr>
          <w:rFonts w:ascii="Garamond" w:hAnsi="Garamond"/>
          <w:sz w:val="18"/>
        </w:rPr>
        <w:t>, Maladier, Sigaud, Ferrer e Revon, auteurs les plus cités.</w:t>
      </w:r>
    </w:p>
  </w:footnote>
  <w:footnote w:id="3">
    <w:p w:rsidR="0046662B" w:rsidRDefault="00BD4B6A">
      <w:pPr>
        <w:pStyle w:val="Testonotaapidipagina1"/>
        <w:jc w:val="both"/>
        <w:rPr>
          <w:rFonts w:ascii="Garamond" w:hAnsi="Garamond"/>
          <w:sz w:val="18"/>
        </w:rPr>
      </w:pPr>
      <w:r>
        <w:rPr>
          <w:rStyle w:val="Rimandonotaapidipagina1"/>
          <w:rFonts w:ascii="Garamond" w:hAnsi="Garamond" w:cs="Calibri"/>
          <w:sz w:val="18"/>
        </w:rPr>
        <w:footnoteRef/>
      </w:r>
      <w:r>
        <w:rPr>
          <w:rFonts w:ascii="Garamond" w:hAnsi="Garamond"/>
          <w:sz w:val="18"/>
        </w:rPr>
        <w:t xml:space="preserve"> </w:t>
      </w:r>
      <w:r>
        <w:rPr>
          <w:rFonts w:ascii="Garamond" w:hAnsi="Garamond"/>
          <w:i/>
          <w:sz w:val="18"/>
        </w:rPr>
        <w:t xml:space="preserve">The Proceeding of the Second General Peace Congress, </w:t>
      </w:r>
      <w:r>
        <w:rPr>
          <w:rFonts w:ascii="Garamond" w:hAnsi="Garamond"/>
          <w:sz w:val="18"/>
        </w:rPr>
        <w:t>Gilpin, London 1849, p. 21.</w:t>
      </w:r>
    </w:p>
  </w:footnote>
  <w:footnote w:id="4">
    <w:p w:rsidR="0046662B" w:rsidRDefault="00BD4B6A">
      <w:r>
        <w:rPr>
          <w:rStyle w:val="Rimandonotaapidipagina1"/>
          <w:rFonts w:ascii="Garamond" w:hAnsi="Garamond"/>
          <w:sz w:val="18"/>
        </w:rPr>
        <w:footnoteRef/>
      </w:r>
      <w:r>
        <w:rPr>
          <w:rFonts w:ascii="Garamond" w:hAnsi="Garamond"/>
          <w:sz w:val="18"/>
        </w:rPr>
        <w:t xml:space="preserve"> Voir A. Acremant, </w:t>
      </w:r>
      <w:r>
        <w:rPr>
          <w:rFonts w:ascii="Garamond" w:hAnsi="Garamond"/>
          <w:i/>
          <w:sz w:val="18"/>
        </w:rPr>
        <w:t>La procédure de l’arbitrage</w:t>
      </w:r>
      <w:r>
        <w:rPr>
          <w:rFonts w:ascii="Garamond" w:hAnsi="Garamond"/>
          <w:sz w:val="18"/>
        </w:rPr>
        <w:t>, Paris 1907.</w:t>
      </w:r>
    </w:p>
  </w:footnote>
  <w:footnote w:id="5">
    <w:p w:rsidR="0046662B" w:rsidRDefault="00BD4B6A">
      <w:pPr>
        <w:jc w:val="both"/>
      </w:pPr>
      <w:r>
        <w:rPr>
          <w:rStyle w:val="Rimandonotaapidipagina1"/>
          <w:rFonts w:ascii="Garamond" w:hAnsi="Garamond"/>
          <w:sz w:val="18"/>
        </w:rPr>
        <w:footnoteRef/>
      </w:r>
      <w:r>
        <w:rPr>
          <w:rFonts w:ascii="Garamond" w:hAnsi="Garamond"/>
          <w:sz w:val="18"/>
        </w:rPr>
        <w:t xml:space="preserve"> Voir A. Mérignhac</w:t>
      </w:r>
      <w:r>
        <w:rPr>
          <w:rFonts w:ascii="Garamond" w:hAnsi="Garamond"/>
          <w:smallCaps/>
          <w:sz w:val="18"/>
        </w:rPr>
        <w:t xml:space="preserve">, </w:t>
      </w:r>
      <w:r>
        <w:rPr>
          <w:rFonts w:ascii="Garamond" w:hAnsi="Garamond"/>
          <w:i/>
          <w:sz w:val="18"/>
        </w:rPr>
        <w:t>Traité théorique et pratique de</w:t>
      </w:r>
      <w:r>
        <w:rPr>
          <w:rFonts w:ascii="Garamond" w:hAnsi="Garamond"/>
          <w:i/>
          <w:sz w:val="18"/>
        </w:rPr>
        <w:t xml:space="preserve"> l’arbitrage international</w:t>
      </w:r>
      <w:r>
        <w:rPr>
          <w:rFonts w:ascii="Garamond" w:hAnsi="Garamond"/>
          <w:sz w:val="18"/>
        </w:rPr>
        <w:t>, Larose, Paris 1</w:t>
      </w:r>
      <w:r>
        <w:rPr>
          <w:rFonts w:ascii="Garamond" w:hAnsi="Garamond"/>
          <w:smallCaps/>
          <w:sz w:val="18"/>
        </w:rPr>
        <w:t xml:space="preserve">895, </w:t>
      </w:r>
      <w:r>
        <w:rPr>
          <w:rFonts w:ascii="Garamond" w:hAnsi="Garamond"/>
          <w:sz w:val="18"/>
        </w:rPr>
        <w:t xml:space="preserve">p. 518 et surtout A. Acremant,  </w:t>
      </w:r>
      <w:r>
        <w:rPr>
          <w:rFonts w:ascii="Garamond" w:hAnsi="Garamond"/>
          <w:i/>
          <w:sz w:val="18"/>
        </w:rPr>
        <w:t>La procédure dans les Arbitrages internationaux</w:t>
      </w:r>
      <w:r>
        <w:rPr>
          <w:rFonts w:ascii="Garamond" w:hAnsi="Garamond"/>
          <w:sz w:val="18"/>
        </w:rPr>
        <w:t xml:space="preserve">, Sukur-Charruey, Arras-Paris 1905. La </w:t>
      </w:r>
      <w:r>
        <w:rPr>
          <w:rFonts w:ascii="Garamond" w:hAnsi="Garamond"/>
          <w:i/>
          <w:sz w:val="18"/>
        </w:rPr>
        <w:t>clausola compromissoria</w:t>
      </w:r>
      <w:r>
        <w:rPr>
          <w:rFonts w:ascii="Garamond" w:hAnsi="Garamond"/>
          <w:sz w:val="18"/>
        </w:rPr>
        <w:t xml:space="preserve"> è un impegno tra due parti di devoluzione ad arbitri delle controv</w:t>
      </w:r>
      <w:r>
        <w:rPr>
          <w:rFonts w:ascii="Garamond" w:hAnsi="Garamond"/>
          <w:sz w:val="18"/>
        </w:rPr>
        <w:t>ersie derivanti dal mancato rispetto di un trattato, o di più trattati,.</w:t>
      </w:r>
    </w:p>
  </w:footnote>
  <w:footnote w:id="6">
    <w:p w:rsidR="0046662B" w:rsidRDefault="00BD4B6A">
      <w:pPr>
        <w:jc w:val="both"/>
      </w:pPr>
      <w:r>
        <w:rPr>
          <w:rStyle w:val="Rimandonotaapidipagina1"/>
          <w:rFonts w:ascii="Garamond" w:hAnsi="Garamond"/>
          <w:sz w:val="18"/>
        </w:rPr>
        <w:footnoteRef/>
      </w:r>
      <w:r>
        <w:rPr>
          <w:rFonts w:ascii="Garamond" w:hAnsi="Garamond"/>
          <w:sz w:val="18"/>
        </w:rPr>
        <w:t xml:space="preserve"> M.C.W. Pinto, </w:t>
      </w:r>
      <w:r>
        <w:rPr>
          <w:rFonts w:ascii="Garamond" w:hAnsi="Garamond"/>
          <w:i/>
          <w:sz w:val="18"/>
        </w:rPr>
        <w:t>The prospects for International Arbitration: InterState Disputes</w:t>
      </w:r>
      <w:r>
        <w:rPr>
          <w:rFonts w:ascii="Garamond" w:hAnsi="Garamond"/>
          <w:sz w:val="18"/>
        </w:rPr>
        <w:t xml:space="preserve">, in in A.H.A Soons (a cura di), </w:t>
      </w:r>
      <w:r>
        <w:rPr>
          <w:rFonts w:ascii="Garamond" w:hAnsi="Garamond"/>
          <w:i/>
          <w:sz w:val="18"/>
        </w:rPr>
        <w:t>International Arbitration: Past and Prospects</w:t>
      </w:r>
      <w:r>
        <w:rPr>
          <w:rFonts w:ascii="Garamond" w:hAnsi="Garamond"/>
          <w:sz w:val="18"/>
        </w:rPr>
        <w:t xml:space="preserve">, </w:t>
      </w:r>
      <w:r>
        <w:rPr>
          <w:rStyle w:val="St"/>
          <w:rFonts w:ascii="Garamond" w:hAnsi="Garamond"/>
          <w:sz w:val="18"/>
        </w:rPr>
        <w:t>Nijhoff</w:t>
      </w:r>
      <w:r>
        <w:rPr>
          <w:rFonts w:ascii="Garamond" w:hAnsi="Garamond"/>
          <w:sz w:val="18"/>
        </w:rPr>
        <w:t>, Amsterdam 1990</w:t>
      </w:r>
      <w:r>
        <w:rPr>
          <w:rFonts w:ascii="Garamond" w:hAnsi="Garamond"/>
          <w:sz w:val="18"/>
        </w:rPr>
        <w:t>, pp. 63-99.</w:t>
      </w:r>
    </w:p>
  </w:footnote>
  <w:footnote w:id="7">
    <w:p w:rsidR="0046662B" w:rsidRDefault="00BD4B6A">
      <w:pPr>
        <w:jc w:val="both"/>
      </w:pPr>
      <w:r>
        <w:rPr>
          <w:rStyle w:val="Rimandonotaapidipagina1"/>
          <w:rFonts w:ascii="Garamond" w:hAnsi="Garamond"/>
          <w:sz w:val="18"/>
        </w:rPr>
        <w:footnoteRef/>
      </w:r>
      <w:r>
        <w:rPr>
          <w:rFonts w:ascii="Garamond" w:hAnsi="Garamond"/>
          <w:sz w:val="18"/>
        </w:rPr>
        <w:t xml:space="preserve"> A. Allain, </w:t>
      </w:r>
      <w:r>
        <w:rPr>
          <w:rFonts w:ascii="Garamond" w:hAnsi="Garamond"/>
          <w:i/>
          <w:sz w:val="18"/>
        </w:rPr>
        <w:t>A Century of International Adjudication. The Rule of Law and its Limits</w:t>
      </w:r>
      <w:r>
        <w:rPr>
          <w:rFonts w:ascii="Garamond" w:hAnsi="Garamond"/>
          <w:sz w:val="18"/>
        </w:rPr>
        <w:t>, Cambridge university press, Cambridge 2000.</w:t>
      </w:r>
    </w:p>
  </w:footnote>
  <w:footnote w:id="8">
    <w:p w:rsidR="0046662B" w:rsidRDefault="00BD4B6A">
      <w:pPr>
        <w:jc w:val="both"/>
      </w:pPr>
      <w:r>
        <w:rPr>
          <w:rStyle w:val="Caratteredellanota"/>
          <w:rFonts w:ascii="Garamond" w:hAnsi="Garamond"/>
          <w:sz w:val="18"/>
        </w:rPr>
        <w:footnoteRef/>
      </w:r>
      <w:r>
        <w:rPr>
          <w:rFonts w:ascii="Garamond" w:hAnsi="Garamond"/>
          <w:sz w:val="18"/>
        </w:rPr>
        <w:t xml:space="preserve"> Voir M.E. Rouard De Card, </w:t>
      </w:r>
      <w:r>
        <w:rPr>
          <w:rFonts w:ascii="Garamond" w:hAnsi="Garamond"/>
          <w:i/>
          <w:sz w:val="18"/>
        </w:rPr>
        <w:t>L’arbitrage international dans le passé, le present et l’avenir</w:t>
      </w:r>
      <w:r>
        <w:rPr>
          <w:rFonts w:ascii="Garamond" w:hAnsi="Garamond"/>
          <w:sz w:val="18"/>
        </w:rPr>
        <w:t xml:space="preserve">, Durand et </w:t>
      </w:r>
      <w:r>
        <w:rPr>
          <w:rFonts w:ascii="Garamond" w:hAnsi="Garamond"/>
          <w:sz w:val="18"/>
        </w:rPr>
        <w:t>Pedone-Lauriel, Paris 1877, pp. 19-20.</w:t>
      </w:r>
    </w:p>
  </w:footnote>
  <w:footnote w:id="9">
    <w:p w:rsidR="0046662B" w:rsidRDefault="00BD4B6A">
      <w:pPr>
        <w:jc w:val="both"/>
      </w:pPr>
      <w:r>
        <w:rPr>
          <w:rStyle w:val="Rimandonotaapidipagina1"/>
          <w:rFonts w:ascii="Garamond" w:hAnsi="Garamond"/>
          <w:sz w:val="18"/>
        </w:rPr>
        <w:footnoteRef/>
      </w:r>
      <w:r>
        <w:rPr>
          <w:rFonts w:ascii="Garamond" w:hAnsi="Garamond"/>
          <w:sz w:val="18"/>
        </w:rPr>
        <w:t xml:space="preserve"> Voir L.B. Sohn, </w:t>
      </w:r>
      <w:r>
        <w:rPr>
          <w:rFonts w:ascii="Garamond" w:hAnsi="Garamond"/>
          <w:i/>
          <w:sz w:val="18"/>
        </w:rPr>
        <w:t>International</w:t>
      </w:r>
      <w:r>
        <w:rPr>
          <w:rFonts w:ascii="Garamond" w:hAnsi="Garamond"/>
          <w:sz w:val="18"/>
        </w:rPr>
        <w:t xml:space="preserve"> </w:t>
      </w:r>
      <w:r>
        <w:rPr>
          <w:rFonts w:ascii="Garamond" w:hAnsi="Garamond"/>
          <w:i/>
          <w:sz w:val="18"/>
        </w:rPr>
        <w:t>Arbitration in Historical Prespective: Past and Present</w:t>
      </w:r>
      <w:r>
        <w:rPr>
          <w:rFonts w:ascii="Garamond" w:hAnsi="Garamond"/>
          <w:sz w:val="18"/>
        </w:rPr>
        <w:t xml:space="preserve">, in A.H.A Soons (ed.), </w:t>
      </w:r>
      <w:r>
        <w:rPr>
          <w:rFonts w:ascii="Garamond" w:hAnsi="Garamond"/>
          <w:i/>
          <w:sz w:val="18"/>
        </w:rPr>
        <w:t>International Arbitration</w:t>
      </w:r>
      <w:r>
        <w:rPr>
          <w:rFonts w:ascii="Garamond" w:hAnsi="Garamond"/>
          <w:sz w:val="18"/>
        </w:rPr>
        <w:t>, cit., pp. 9-22.</w:t>
      </w:r>
    </w:p>
  </w:footnote>
  <w:footnote w:id="10">
    <w:p w:rsidR="0046662B" w:rsidRDefault="00BD4B6A">
      <w:pPr>
        <w:jc w:val="both"/>
      </w:pPr>
      <w:r>
        <w:rPr>
          <w:rStyle w:val="Caratteredellanota"/>
          <w:rFonts w:ascii="Garamond" w:hAnsi="Garamond"/>
          <w:sz w:val="18"/>
        </w:rPr>
        <w:footnoteRef/>
      </w:r>
      <w:r>
        <w:rPr>
          <w:rFonts w:ascii="Garamond" w:hAnsi="Garamond"/>
          <w:sz w:val="18"/>
        </w:rPr>
        <w:t xml:space="preserve"> </w:t>
      </w:r>
      <w:r>
        <w:rPr>
          <w:rFonts w:ascii="Garamond" w:hAnsi="Garamond"/>
          <w:i/>
          <w:sz w:val="18"/>
        </w:rPr>
        <w:t>Society for abolishing war</w:t>
      </w:r>
      <w:r>
        <w:rPr>
          <w:rFonts w:ascii="Garamond" w:hAnsi="Garamond"/>
          <w:sz w:val="18"/>
        </w:rPr>
        <w:t xml:space="preserve"> , </w:t>
      </w:r>
      <w:r>
        <w:rPr>
          <w:rFonts w:ascii="Garamond" w:hAnsi="Garamond"/>
          <w:i/>
          <w:sz w:val="18"/>
        </w:rPr>
        <w:t>Society for the promotion of per</w:t>
      </w:r>
      <w:r>
        <w:rPr>
          <w:rFonts w:ascii="Garamond" w:hAnsi="Garamond"/>
          <w:i/>
          <w:sz w:val="18"/>
        </w:rPr>
        <w:t>manent universal peace</w:t>
      </w:r>
      <w:r>
        <w:rPr>
          <w:rFonts w:ascii="Garamond" w:hAnsi="Garamond"/>
          <w:sz w:val="18"/>
        </w:rPr>
        <w:t xml:space="preserve">, </w:t>
      </w:r>
      <w:r>
        <w:rPr>
          <w:rFonts w:ascii="Garamond" w:hAnsi="Garamond"/>
          <w:i/>
          <w:sz w:val="18"/>
        </w:rPr>
        <w:t xml:space="preserve">Peace Society </w:t>
      </w:r>
      <w:r>
        <w:rPr>
          <w:rFonts w:ascii="Garamond" w:hAnsi="Garamond"/>
          <w:sz w:val="18"/>
        </w:rPr>
        <w:t>(1816),</w:t>
      </w:r>
      <w:r>
        <w:rPr>
          <w:rFonts w:ascii="Garamond" w:hAnsi="Garamond"/>
          <w:i/>
          <w:sz w:val="18"/>
        </w:rPr>
        <w:t xml:space="preserve"> American Peace Society </w:t>
      </w:r>
      <w:r>
        <w:rPr>
          <w:rFonts w:ascii="Garamond" w:hAnsi="Garamond"/>
          <w:sz w:val="18"/>
        </w:rPr>
        <w:t xml:space="preserve">1828. Voir M. Ceadel, </w:t>
      </w:r>
      <w:r>
        <w:rPr>
          <w:rFonts w:ascii="Garamond" w:hAnsi="Garamond"/>
          <w:i/>
          <w:sz w:val="18"/>
        </w:rPr>
        <w:t>The Origins of  War Prevention. The British Peace Movement and International Relations (1730-1854)</w:t>
      </w:r>
      <w:r>
        <w:rPr>
          <w:rFonts w:ascii="Garamond" w:hAnsi="Garamond"/>
          <w:sz w:val="18"/>
        </w:rPr>
        <w:t xml:space="preserve">, Clarendon, Oxford 2001 et G. Aldobrandini, </w:t>
      </w:r>
      <w:r>
        <w:rPr>
          <w:rFonts w:ascii="Garamond" w:hAnsi="Garamond"/>
          <w:i/>
          <w:sz w:val="18"/>
        </w:rPr>
        <w:t xml:space="preserve">The Wishful Thinking. </w:t>
      </w:r>
      <w:r>
        <w:rPr>
          <w:rFonts w:ascii="Garamond" w:hAnsi="Garamond"/>
          <w:i/>
          <w:sz w:val="18"/>
        </w:rPr>
        <w:t>Storia del pacifismo inglese nell’Ottocento</w:t>
      </w:r>
      <w:r>
        <w:rPr>
          <w:rFonts w:ascii="Garamond" w:hAnsi="Garamond"/>
          <w:sz w:val="18"/>
        </w:rPr>
        <w:t>, LIUSS, Roma 2009, pp. 155-185.</w:t>
      </w:r>
    </w:p>
  </w:footnote>
  <w:footnote w:id="11">
    <w:p w:rsidR="0046662B" w:rsidRDefault="00BD4B6A">
      <w:pPr>
        <w:jc w:val="both"/>
      </w:pPr>
      <w:r>
        <w:rPr>
          <w:rStyle w:val="Rimandonotaapidipagina1"/>
          <w:rFonts w:ascii="Garamond" w:hAnsi="Garamond"/>
          <w:sz w:val="18"/>
        </w:rPr>
        <w:footnoteRef/>
      </w:r>
      <w:r>
        <w:rPr>
          <w:rFonts w:ascii="Garamond" w:hAnsi="Garamond"/>
          <w:sz w:val="18"/>
        </w:rPr>
        <w:t xml:space="preserve"> Voir H. Geyer, J. Paulmann (eds.), </w:t>
      </w:r>
      <w:r>
        <w:rPr>
          <w:rFonts w:ascii="Garamond" w:hAnsi="Garamond"/>
          <w:i/>
          <w:sz w:val="18"/>
        </w:rPr>
        <w:t>The Mechanism of Internationalism. Culture, Society, and Politics from the 1840s to the First World War</w:t>
      </w:r>
      <w:r>
        <w:rPr>
          <w:rFonts w:ascii="Garamond" w:hAnsi="Garamond"/>
          <w:sz w:val="18"/>
        </w:rPr>
        <w:t>, Oxford University Press, Oxford 2001 e</w:t>
      </w:r>
      <w:r>
        <w:rPr>
          <w:rFonts w:ascii="Garamond" w:hAnsi="Garamond"/>
          <w:sz w:val="18"/>
        </w:rPr>
        <w:t xml:space="preserve">t D. Nicholls, </w:t>
      </w:r>
      <w:r>
        <w:rPr>
          <w:rFonts w:ascii="Garamond" w:hAnsi="Garamond"/>
          <w:i/>
          <w:sz w:val="18"/>
        </w:rPr>
        <w:t>Richard Cobden and the International Peace Congress Movement, 1848-1853</w:t>
      </w:r>
      <w:r>
        <w:rPr>
          <w:rFonts w:ascii="Garamond" w:hAnsi="Garamond"/>
          <w:sz w:val="18"/>
        </w:rPr>
        <w:t>, in «The Journal British Studies»</w:t>
      </w:r>
      <w:r>
        <w:rPr>
          <w:rFonts w:ascii="Garamond" w:hAnsi="Garamond"/>
          <w:i/>
          <w:sz w:val="18"/>
        </w:rPr>
        <w:t xml:space="preserve">, </w:t>
      </w:r>
      <w:r>
        <w:rPr>
          <w:rFonts w:ascii="Garamond" w:hAnsi="Garamond"/>
          <w:sz w:val="18"/>
        </w:rPr>
        <w:t>vol. 30, no. 4 (1991), p. 351 ss.</w:t>
      </w:r>
    </w:p>
  </w:footnote>
  <w:footnote w:id="12">
    <w:p w:rsidR="0046662B" w:rsidRDefault="00BD4B6A">
      <w:pPr>
        <w:jc w:val="both"/>
      </w:pPr>
      <w:r>
        <w:rPr>
          <w:rStyle w:val="Rimandonotaapidipagina1"/>
          <w:rFonts w:ascii="Garamond" w:hAnsi="Garamond"/>
          <w:sz w:val="18"/>
        </w:rPr>
        <w:footnoteRef/>
      </w:r>
      <w:r>
        <w:rPr>
          <w:rFonts w:ascii="Garamond" w:hAnsi="Garamond"/>
          <w:sz w:val="18"/>
        </w:rPr>
        <w:t xml:space="preserve"> Voir W.H. Van der Linden, </w:t>
      </w:r>
      <w:r>
        <w:rPr>
          <w:rStyle w:val="Donkergrijsgrb"/>
          <w:rFonts w:ascii="Garamond" w:hAnsi="Garamond"/>
          <w:i/>
          <w:sz w:val="18"/>
        </w:rPr>
        <w:t>International Peace Movement 1815-1874</w:t>
      </w:r>
      <w:r>
        <w:rPr>
          <w:rStyle w:val="Donkergrijsgrb"/>
          <w:rFonts w:ascii="Garamond" w:hAnsi="Garamond"/>
          <w:sz w:val="18"/>
        </w:rPr>
        <w:t>,</w:t>
      </w:r>
      <w:r>
        <w:rPr>
          <w:rFonts w:ascii="Garamond" w:hAnsi="Garamond"/>
          <w:sz w:val="18"/>
        </w:rPr>
        <w:t xml:space="preserve"> </w:t>
      </w:r>
      <w:r>
        <w:rPr>
          <w:rStyle w:val="St"/>
          <w:rFonts w:ascii="Garamond" w:hAnsi="Garamond"/>
          <w:sz w:val="18"/>
        </w:rPr>
        <w:t>Tilleul Publications</w:t>
      </w:r>
      <w:r>
        <w:rPr>
          <w:rFonts w:ascii="Garamond" w:hAnsi="Garamond"/>
          <w:sz w:val="18"/>
        </w:rPr>
        <w:t xml:space="preserve">, Amsterdam </w:t>
      </w:r>
      <w:r>
        <w:rPr>
          <w:rStyle w:val="Zwartgr"/>
          <w:rFonts w:ascii="Garamond" w:hAnsi="Garamond"/>
          <w:sz w:val="18"/>
        </w:rPr>
        <w:t>1987.</w:t>
      </w:r>
    </w:p>
  </w:footnote>
  <w:footnote w:id="13">
    <w:p w:rsidR="0046662B" w:rsidRDefault="00BD4B6A">
      <w:pPr>
        <w:pStyle w:val="Testonotaapidipagina1"/>
        <w:jc w:val="both"/>
      </w:pPr>
      <w:r>
        <w:rPr>
          <w:rStyle w:val="Caratteredellanota"/>
          <w:rFonts w:ascii="Garamond" w:hAnsi="Garamond" w:cs="Times New Roman"/>
          <w:sz w:val="18"/>
        </w:rPr>
        <w:footnoteRef/>
      </w:r>
      <w:r>
        <w:rPr>
          <w:rFonts w:ascii="Garamond" w:hAnsi="Garamond"/>
          <w:sz w:val="18"/>
        </w:rPr>
        <w:t xml:space="preserve">  Voir </w:t>
      </w:r>
      <w:r>
        <w:rPr>
          <w:rFonts w:ascii="Garamond" w:hAnsi="Garamond"/>
          <w:i/>
          <w:sz w:val="18"/>
        </w:rPr>
        <w:t>The Proceeding of the Second General Peace Congress</w:t>
      </w:r>
      <w:r>
        <w:rPr>
          <w:rFonts w:ascii="Garamond" w:hAnsi="Garamond"/>
          <w:sz w:val="18"/>
        </w:rPr>
        <w:t>, cit., pp. 21-22.</w:t>
      </w:r>
    </w:p>
  </w:footnote>
  <w:footnote w:id="14">
    <w:p w:rsidR="0046662B" w:rsidRDefault="00BD4B6A">
      <w:pPr>
        <w:pStyle w:val="Testonotaapidipagina1"/>
        <w:jc w:val="both"/>
      </w:pPr>
      <w:r>
        <w:rPr>
          <w:rStyle w:val="Caratteredellanota"/>
          <w:rFonts w:ascii="Garamond" w:hAnsi="Garamond" w:cs="Times New Roman"/>
          <w:sz w:val="18"/>
        </w:rPr>
        <w:footnoteRef/>
      </w:r>
      <w:r>
        <w:rPr>
          <w:rFonts w:ascii="Garamond" w:hAnsi="Garamond"/>
          <w:sz w:val="18"/>
        </w:rPr>
        <w:t xml:space="preserve"> Voir la résolution du </w:t>
      </w:r>
      <w:r>
        <w:rPr>
          <w:rFonts w:ascii="Garamond" w:hAnsi="Garamond"/>
          <w:i/>
          <w:sz w:val="18"/>
        </w:rPr>
        <w:t>Congrès des amis de la paix universelle réuni à Paris en 1849</w:t>
      </w:r>
      <w:r>
        <w:rPr>
          <w:rFonts w:ascii="Garamond" w:hAnsi="Garamond"/>
          <w:sz w:val="18"/>
        </w:rPr>
        <w:t xml:space="preserve">, Parigi 1850, p. 9: </w:t>
      </w:r>
      <w:r>
        <w:rPr>
          <w:rFonts w:ascii="Garamond" w:hAnsi="Garamond"/>
          <w:i/>
          <w:sz w:val="18"/>
        </w:rPr>
        <w:t>La paix pouvant seule garantir les intérêts moraux et matériels de</w:t>
      </w:r>
      <w:r>
        <w:rPr>
          <w:rFonts w:ascii="Garamond" w:hAnsi="Garamond"/>
          <w:i/>
          <w:sz w:val="18"/>
        </w:rPr>
        <w:t>s peuples, le devoir de tous les gouvernements est de soumettre à arbitrage les différends qui s’élèvent entre eux. Et de respecter les décisions des arbitres qu’ils auront choisis</w:t>
      </w:r>
      <w:r>
        <w:rPr>
          <w:rFonts w:ascii="Garamond" w:hAnsi="Garamond"/>
          <w:sz w:val="18"/>
        </w:rPr>
        <w:t>.</w:t>
      </w:r>
    </w:p>
  </w:footnote>
  <w:footnote w:id="15">
    <w:p w:rsidR="0046662B" w:rsidRDefault="00BD4B6A">
      <w:pPr>
        <w:pStyle w:val="Testonotaapidipagina1"/>
        <w:jc w:val="both"/>
      </w:pPr>
      <w:r>
        <w:rPr>
          <w:rStyle w:val="Caratteredellanota"/>
          <w:rFonts w:ascii="Garamond" w:hAnsi="Garamond" w:cs="Times New Roman"/>
          <w:sz w:val="18"/>
        </w:rPr>
        <w:footnoteRef/>
      </w:r>
      <w:r>
        <w:rPr>
          <w:rFonts w:ascii="Garamond" w:hAnsi="Garamond"/>
          <w:sz w:val="18"/>
        </w:rPr>
        <w:t xml:space="preserve"> Voir </w:t>
      </w:r>
      <w:r>
        <w:rPr>
          <w:rFonts w:ascii="Garamond" w:hAnsi="Garamond"/>
          <w:i/>
          <w:sz w:val="18"/>
        </w:rPr>
        <w:t>The Proceeding of the Second General Peace Convention</w:t>
      </w:r>
      <w:r>
        <w:rPr>
          <w:rFonts w:ascii="Garamond" w:hAnsi="Garamond"/>
          <w:sz w:val="18"/>
        </w:rPr>
        <w:t>, cit., pp. 19</w:t>
      </w:r>
      <w:r>
        <w:rPr>
          <w:rFonts w:ascii="Garamond" w:hAnsi="Garamond"/>
          <w:sz w:val="18"/>
        </w:rPr>
        <w:t>-32 e anche</w:t>
      </w:r>
      <w:r>
        <w:rPr>
          <w:rFonts w:ascii="Garamond" w:hAnsi="Garamond"/>
          <w:i/>
          <w:sz w:val="18"/>
        </w:rPr>
        <w:t xml:space="preserve"> The Proceeding of the Third General Peace Congress</w:t>
      </w:r>
      <w:r>
        <w:rPr>
          <w:rFonts w:ascii="Garamond" w:hAnsi="Garamond"/>
          <w:sz w:val="18"/>
        </w:rPr>
        <w:t xml:space="preserve">, Gilpin, London 1852, p. 51-52 . </w:t>
      </w:r>
    </w:p>
  </w:footnote>
  <w:footnote w:id="16">
    <w:p w:rsidR="0046662B" w:rsidRDefault="00BD4B6A">
      <w:pPr>
        <w:pStyle w:val="Testonotaapidipagina1"/>
      </w:pPr>
      <w:r>
        <w:rPr>
          <w:rStyle w:val="Rimandonotaapidipagina1"/>
          <w:rFonts w:ascii="Garamond" w:hAnsi="Garamond" w:cs="Calibri"/>
          <w:sz w:val="18"/>
        </w:rPr>
        <w:footnoteRef/>
      </w:r>
      <w:r>
        <w:rPr>
          <w:rFonts w:ascii="Garamond" w:hAnsi="Garamond"/>
          <w:sz w:val="18"/>
        </w:rPr>
        <w:t xml:space="preserve"> Mannoni, </w:t>
      </w:r>
      <w:r>
        <w:rPr>
          <w:rFonts w:ascii="Garamond" w:hAnsi="Garamond"/>
          <w:i/>
          <w:sz w:val="18"/>
        </w:rPr>
        <w:t>Potenza e ragione</w:t>
      </w:r>
      <w:r>
        <w:rPr>
          <w:rFonts w:ascii="Garamond" w:hAnsi="Garamond"/>
          <w:sz w:val="18"/>
        </w:rPr>
        <w:t>, cit., pp. 201-206.</w:t>
      </w:r>
    </w:p>
  </w:footnote>
  <w:footnote w:id="17">
    <w:p w:rsidR="0046662B" w:rsidRDefault="00BD4B6A">
      <w:pPr>
        <w:jc w:val="both"/>
      </w:pPr>
      <w:r>
        <w:rPr>
          <w:rStyle w:val="Caratteredellanota"/>
          <w:rFonts w:ascii="Garamond" w:hAnsi="Garamond"/>
          <w:sz w:val="18"/>
        </w:rPr>
        <w:footnoteRef/>
      </w:r>
      <w:r>
        <w:rPr>
          <w:rFonts w:ascii="Garamond" w:hAnsi="Garamond"/>
          <w:sz w:val="18"/>
        </w:rPr>
        <w:t xml:space="preserve">  Voir E. Chadwick, </w:t>
      </w:r>
      <w:r>
        <w:rPr>
          <w:rFonts w:ascii="Garamond" w:hAnsi="Garamond"/>
          <w:i/>
          <w:sz w:val="18"/>
        </w:rPr>
        <w:t>Gone with the War? Neutral State Responsibility and the Geneva Arbitration of 1872</w:t>
      </w:r>
      <w:r>
        <w:rPr>
          <w:rFonts w:ascii="Garamond" w:hAnsi="Garamond"/>
          <w:sz w:val="18"/>
        </w:rPr>
        <w:t>, in «Leiden Journal of International Law», 12, n. 4, 1999, p. 787-820. Grande-Bretagne aurait dû payer, avec une contribution de 15,5 millions $ en or, les dommages causés aux navires marchands de l'Union, coulés par les navires de guerre de la confédérat</w:t>
      </w:r>
      <w:r>
        <w:rPr>
          <w:rFonts w:ascii="Garamond" w:hAnsi="Garamond"/>
          <w:sz w:val="18"/>
        </w:rPr>
        <w:t xml:space="preserve">ion, construits dans les chantiers navals anglaises (comme le navire Alabama qui a donné le nommer à la cause), Grande-Bretagne fut un pays neutre, entre les deux parties au conflit (Union et Confédération américaines, pendant la Guerre civile). </w:t>
      </w:r>
    </w:p>
  </w:footnote>
  <w:footnote w:id="18">
    <w:p w:rsidR="0046662B" w:rsidRDefault="00BD4B6A">
      <w:pPr>
        <w:pStyle w:val="Testonotaapidipagina1"/>
      </w:pPr>
      <w:r>
        <w:rPr>
          <w:rStyle w:val="Rimandonotaapidipagina1"/>
          <w:rFonts w:ascii="Garamond" w:hAnsi="Garamond" w:cs="Calibri"/>
          <w:sz w:val="18"/>
        </w:rPr>
        <w:footnoteRef/>
      </w:r>
      <w:r>
        <w:rPr>
          <w:rFonts w:ascii="Garamond" w:hAnsi="Garamond"/>
          <w:sz w:val="18"/>
        </w:rPr>
        <w:t xml:space="preserve"> Voir L.</w:t>
      </w:r>
      <w:r>
        <w:rPr>
          <w:rFonts w:ascii="Garamond" w:hAnsi="Garamond"/>
          <w:sz w:val="18"/>
        </w:rPr>
        <w:t xml:space="preserve"> Nuzzo, pp. 115 ss.</w:t>
      </w:r>
    </w:p>
  </w:footnote>
  <w:footnote w:id="19">
    <w:p w:rsidR="0046662B" w:rsidRDefault="00BD4B6A">
      <w:pPr>
        <w:jc w:val="both"/>
      </w:pPr>
      <w:r>
        <w:rPr>
          <w:rStyle w:val="Rimandonotaapidipagina1"/>
          <w:rFonts w:ascii="Garamond" w:hAnsi="Garamond"/>
          <w:sz w:val="18"/>
        </w:rPr>
        <w:footnoteRef/>
      </w:r>
      <w:r>
        <w:rPr>
          <w:rFonts w:ascii="Garamond" w:hAnsi="Garamond"/>
          <w:sz w:val="18"/>
        </w:rPr>
        <w:t xml:space="preserve">A. Pierantoni, </w:t>
      </w:r>
      <w:r>
        <w:rPr>
          <w:rFonts w:ascii="Garamond" w:hAnsi="Garamond"/>
          <w:i/>
          <w:sz w:val="18"/>
        </w:rPr>
        <w:t>Storia del diritto internazionale nel secolo XIX</w:t>
      </w:r>
      <w:r>
        <w:rPr>
          <w:rFonts w:ascii="Garamond" w:hAnsi="Garamond"/>
          <w:sz w:val="18"/>
        </w:rPr>
        <w:t>, Marghieri, Napoli 1876, p. 475</w:t>
      </w:r>
    </w:p>
  </w:footnote>
  <w:footnote w:id="20">
    <w:p w:rsidR="0046662B" w:rsidRDefault="00BD4B6A">
      <w:pPr>
        <w:pStyle w:val="Testonotaapidipagina1"/>
        <w:jc w:val="both"/>
      </w:pPr>
      <w:r>
        <w:rPr>
          <w:rStyle w:val="Caratteredellanota"/>
          <w:rFonts w:ascii="Garamond" w:hAnsi="Garamond" w:cs="Times New Roman"/>
          <w:sz w:val="18"/>
        </w:rPr>
        <w:footnoteRef/>
      </w:r>
      <w:r>
        <w:rPr>
          <w:rFonts w:ascii="Garamond" w:hAnsi="Garamond"/>
          <w:sz w:val="18"/>
        </w:rPr>
        <w:t xml:space="preserve"> Voir Gustave Moynier, </w:t>
      </w:r>
      <w:r>
        <w:rPr>
          <w:rFonts w:ascii="Garamond" w:hAnsi="Garamond"/>
          <w:i/>
          <w:sz w:val="18"/>
        </w:rPr>
        <w:t>Considèrations sur la sanction pénale à donner à la Convention de Génève</w:t>
      </w:r>
      <w:r>
        <w:rPr>
          <w:rFonts w:ascii="Garamond" w:hAnsi="Garamond"/>
          <w:sz w:val="18"/>
        </w:rPr>
        <w:t xml:space="preserve">, Lausanne, 1893 et aussi M. </w:t>
      </w:r>
      <w:r>
        <w:rPr>
          <w:rFonts w:ascii="Garamond" w:hAnsi="Garamond" w:cs="Times New Roman"/>
          <w:sz w:val="18"/>
        </w:rPr>
        <w:t xml:space="preserve">Glasius, </w:t>
      </w:r>
      <w:r>
        <w:rPr>
          <w:rFonts w:ascii="Garamond" w:hAnsi="Garamond" w:cs="Times New Roman"/>
          <w:i/>
          <w:sz w:val="18"/>
        </w:rPr>
        <w:t>Inter</w:t>
      </w:r>
      <w:r>
        <w:rPr>
          <w:rFonts w:ascii="Garamond" w:hAnsi="Garamond" w:cs="Times New Roman"/>
          <w:i/>
          <w:sz w:val="18"/>
        </w:rPr>
        <w:t>national Court</w:t>
      </w:r>
      <w:r>
        <w:rPr>
          <w:rFonts w:ascii="Garamond" w:hAnsi="Garamond" w:cs="Times New Roman"/>
          <w:sz w:val="18"/>
        </w:rPr>
        <w:t>, cit., pp. 6-7.</w:t>
      </w:r>
    </w:p>
  </w:footnote>
  <w:footnote w:id="21">
    <w:p w:rsidR="0046662B" w:rsidRDefault="00BD4B6A">
      <w:pPr>
        <w:pStyle w:val="Testonotaapidipagina"/>
      </w:pPr>
      <w:r>
        <w:rPr>
          <w:rStyle w:val="Rimandonotaapidipagina"/>
        </w:rPr>
        <w:footnoteRef/>
      </w:r>
      <w:r>
        <w:t xml:space="preserve"> </w:t>
      </w:r>
      <w:r>
        <w:rPr>
          <w:rFonts w:ascii="Garamond" w:hAnsi="Garamond"/>
          <w:sz w:val="18"/>
        </w:rPr>
        <w:t>La guerre franco-prussienne a marqué, cependant, une importante transition, en déclenchant une série de résolutions, conventions, conférences qui ont soutenu le travail de codifier les lois de la guerre lors de la conférenc</w:t>
      </w:r>
      <w:r>
        <w:rPr>
          <w:rFonts w:ascii="Garamond" w:hAnsi="Garamond"/>
          <w:sz w:val="18"/>
        </w:rPr>
        <w:t xml:space="preserve">e internationale organisée à Bruxelles en 1874. La célébration de cette conférence dans la capitale belge a fait émerger un document final, conjointement avec le </w:t>
      </w:r>
      <w:r>
        <w:rPr>
          <w:rFonts w:ascii="Garamond" w:hAnsi="Garamond"/>
          <w:i/>
          <w:sz w:val="18"/>
        </w:rPr>
        <w:t>Manuel de lois de la guerre sur terre</w:t>
      </w:r>
      <w:r>
        <w:rPr>
          <w:rFonts w:ascii="Garamond" w:hAnsi="Garamond"/>
          <w:sz w:val="18"/>
        </w:rPr>
        <w:t>, mis au point par l'Institut de droit international, lor</w:t>
      </w:r>
      <w:r>
        <w:rPr>
          <w:rFonts w:ascii="Garamond" w:hAnsi="Garamond"/>
          <w:sz w:val="18"/>
        </w:rPr>
        <w:t xml:space="preserve">s de la séance tenue à Oxford en 1880, et un projet de convention international (1868) voulu par le Tsar, composé de soixante-dix articles, qui visait à réglementer l’ « état </w:t>
      </w:r>
      <w:r>
        <w:rPr>
          <w:rFonts w:ascii="MS Mincho" w:eastAsia="MS Mincho" w:hAnsi="MS Mincho" w:cs="MS Mincho"/>
          <w:sz w:val="18"/>
        </w:rPr>
        <w:t>​​</w:t>
      </w:r>
      <w:r>
        <w:rPr>
          <w:rFonts w:ascii="Garamond" w:hAnsi="Garamond"/>
          <w:sz w:val="18"/>
        </w:rPr>
        <w:t>de guerre » et d'arrêter les horreurs, en indiquant en même temps les droits et</w:t>
      </w:r>
      <w:r>
        <w:rPr>
          <w:rFonts w:ascii="Garamond" w:hAnsi="Garamond"/>
          <w:sz w:val="18"/>
        </w:rPr>
        <w:t xml:space="preserve"> devoirs des armées. C’était une théorie politique importante pour le débat qui aura lieu à La Haye lors de la première conférence de paix de 1899.</w:t>
      </w:r>
    </w:p>
  </w:footnote>
  <w:footnote w:id="22">
    <w:p w:rsidR="0046662B" w:rsidRDefault="00BD4B6A">
      <w:pPr>
        <w:jc w:val="both"/>
      </w:pPr>
      <w:r>
        <w:rPr>
          <w:rStyle w:val="Rimandonotaapidipagina1"/>
          <w:rFonts w:ascii="Garamond" w:hAnsi="Garamond"/>
          <w:sz w:val="18"/>
        </w:rPr>
        <w:footnoteRef/>
      </w:r>
      <w:r>
        <w:rPr>
          <w:rFonts w:ascii="Garamond" w:hAnsi="Garamond"/>
          <w:sz w:val="18"/>
        </w:rPr>
        <w:t xml:space="preserve"> E. L.V. de Lavelaye, </w:t>
      </w:r>
      <w:r>
        <w:rPr>
          <w:rFonts w:ascii="Garamond" w:hAnsi="Garamond"/>
          <w:i/>
          <w:sz w:val="18"/>
        </w:rPr>
        <w:t>Des causes actuelles de guerre en Europe et de l’arbitrage</w:t>
      </w:r>
      <w:r>
        <w:rPr>
          <w:rFonts w:ascii="Garamond" w:hAnsi="Garamond"/>
          <w:sz w:val="18"/>
        </w:rPr>
        <w:t xml:space="preserve">, </w:t>
      </w:r>
      <w:r>
        <w:rPr>
          <w:rStyle w:val="St"/>
          <w:rFonts w:ascii="Garamond" w:hAnsi="Garamond"/>
          <w:sz w:val="18"/>
        </w:rPr>
        <w:t>Muquardt and Guillaumin,</w:t>
      </w:r>
      <w:r>
        <w:rPr>
          <w:rFonts w:ascii="Garamond" w:hAnsi="Garamond"/>
          <w:sz w:val="18"/>
        </w:rPr>
        <w:t xml:space="preserve"> </w:t>
      </w:r>
      <w:r>
        <w:rPr>
          <w:rFonts w:ascii="Garamond" w:hAnsi="Garamond"/>
          <w:sz w:val="18"/>
        </w:rPr>
        <w:t>Paris-Bruxelles 1873.</w:t>
      </w:r>
    </w:p>
  </w:footnote>
  <w:footnote w:id="23">
    <w:p w:rsidR="0046662B" w:rsidRDefault="00BD4B6A">
      <w:pPr>
        <w:jc w:val="both"/>
      </w:pPr>
      <w:r>
        <w:rPr>
          <w:rStyle w:val="Rimandonotaapidipagina1"/>
          <w:rFonts w:ascii="Garamond" w:hAnsi="Garamond"/>
          <w:sz w:val="18"/>
        </w:rPr>
        <w:footnoteRef/>
      </w:r>
      <w:r>
        <w:rPr>
          <w:rFonts w:ascii="Garamond" w:hAnsi="Garamond"/>
          <w:sz w:val="18"/>
        </w:rPr>
        <w:t xml:space="preserve"> L. Bara, </w:t>
      </w:r>
      <w:r>
        <w:rPr>
          <w:rFonts w:ascii="Garamond" w:hAnsi="Garamond"/>
          <w:i/>
          <w:sz w:val="18"/>
        </w:rPr>
        <w:t>La Science de la Paix, programme: mémoire couronné à Paris en 1849 par le congrès des sociétés anglo-américains des Amis de la paix</w:t>
      </w:r>
      <w:r>
        <w:rPr>
          <w:rFonts w:ascii="Garamond" w:hAnsi="Garamond"/>
          <w:sz w:val="18"/>
        </w:rPr>
        <w:t>, Muquardt, Paris 1872 p. 152, (pubblicato postumo).</w:t>
      </w:r>
    </w:p>
  </w:footnote>
  <w:footnote w:id="24">
    <w:p w:rsidR="0046662B" w:rsidRDefault="00BD4B6A">
      <w:pPr>
        <w:pStyle w:val="Testonotaapidipagina1"/>
        <w:jc w:val="both"/>
      </w:pPr>
      <w:r>
        <w:rPr>
          <w:rStyle w:val="Caratteredellanota"/>
          <w:rFonts w:ascii="Garamond" w:hAnsi="Garamond" w:cs="Times New Roman"/>
          <w:sz w:val="18"/>
        </w:rPr>
        <w:footnoteRef/>
      </w:r>
      <w:r>
        <w:rPr>
          <w:rFonts w:ascii="Garamond" w:hAnsi="Garamond"/>
          <w:sz w:val="18"/>
        </w:rPr>
        <w:t xml:space="preserve"> Voir </w:t>
      </w:r>
      <w:r>
        <w:rPr>
          <w:rFonts w:ascii="Garamond" w:hAnsi="Garamond"/>
          <w:i/>
          <w:sz w:val="18"/>
        </w:rPr>
        <w:t xml:space="preserve">Annuaire de l’institut de droit </w:t>
      </w:r>
      <w:r>
        <w:rPr>
          <w:rFonts w:ascii="Garamond" w:hAnsi="Garamond"/>
          <w:i/>
          <w:sz w:val="18"/>
        </w:rPr>
        <w:t>international, édition nouvelle abrégée</w:t>
      </w:r>
      <w:r>
        <w:rPr>
          <w:rFonts w:ascii="Garamond" w:hAnsi="Garamond"/>
          <w:sz w:val="18"/>
        </w:rPr>
        <w:t>, vol.1, Pédone, Paris 1928, Session de Zurich 1877, p. 166-174.</w:t>
      </w:r>
    </w:p>
  </w:footnote>
  <w:footnote w:id="25">
    <w:p w:rsidR="0046662B" w:rsidRDefault="00BD4B6A">
      <w:pPr>
        <w:jc w:val="both"/>
      </w:pPr>
      <w:r>
        <w:rPr>
          <w:rStyle w:val="Rimandonotaapidipagina1"/>
          <w:rFonts w:ascii="Garamond" w:hAnsi="Garamond"/>
          <w:sz w:val="18"/>
        </w:rPr>
        <w:footnoteRef/>
      </w:r>
      <w:r>
        <w:rPr>
          <w:rFonts w:ascii="Garamond" w:hAnsi="Garamond"/>
          <w:sz w:val="18"/>
        </w:rPr>
        <w:t xml:space="preserve"> Voir S. Mannoni, </w:t>
      </w:r>
      <w:r>
        <w:rPr>
          <w:rFonts w:ascii="Garamond" w:hAnsi="Garamond"/>
          <w:i/>
          <w:sz w:val="18"/>
        </w:rPr>
        <w:t>Potenza e ragione. La scienza del diritto internazionale nella crisi dell'equilibrio europeo (1870-1914)</w:t>
      </w:r>
      <w:r>
        <w:rPr>
          <w:rFonts w:ascii="Garamond" w:hAnsi="Garamond"/>
          <w:sz w:val="18"/>
        </w:rPr>
        <w:t>, Giuffré, Milano 1999 pp. 23</w:t>
      </w:r>
      <w:r>
        <w:rPr>
          <w:rFonts w:ascii="Garamond" w:hAnsi="Garamond"/>
          <w:sz w:val="18"/>
        </w:rPr>
        <w:t xml:space="preserve">9-240. </w:t>
      </w:r>
    </w:p>
  </w:footnote>
  <w:footnote w:id="26">
    <w:p w:rsidR="0046662B" w:rsidRDefault="00BD4B6A">
      <w:pPr>
        <w:jc w:val="both"/>
      </w:pPr>
      <w:r>
        <w:rPr>
          <w:rStyle w:val="Rimandonotaapidipagina1"/>
          <w:rFonts w:ascii="Garamond" w:hAnsi="Garamond"/>
          <w:sz w:val="18"/>
        </w:rPr>
        <w:footnoteRef/>
      </w:r>
      <w:r>
        <w:rPr>
          <w:rFonts w:ascii="Garamond" w:hAnsi="Garamond"/>
          <w:sz w:val="18"/>
        </w:rPr>
        <w:t xml:space="preserve"> Voir P. Fiore, </w:t>
      </w:r>
      <w:r>
        <w:rPr>
          <w:rFonts w:ascii="Garamond" w:hAnsi="Garamond"/>
          <w:i/>
          <w:sz w:val="18"/>
        </w:rPr>
        <w:t>Settlement of the International Question</w:t>
      </w:r>
      <w:r>
        <w:rPr>
          <w:rFonts w:ascii="Garamond" w:hAnsi="Garamond"/>
          <w:sz w:val="18"/>
        </w:rPr>
        <w:t xml:space="preserve">, in «International Journal of Ethics», vol. 7, 1896, pp. 20-32. </w:t>
      </w:r>
    </w:p>
  </w:footnote>
  <w:footnote w:id="27">
    <w:p w:rsidR="0046662B" w:rsidRDefault="00BD4B6A">
      <w:pPr>
        <w:pStyle w:val="Testonotaapidipagina1"/>
        <w:jc w:val="both"/>
      </w:pPr>
      <w:r>
        <w:rPr>
          <w:rStyle w:val="Rimandonotaapidipagina1"/>
          <w:rFonts w:ascii="Garamond" w:hAnsi="Garamond" w:cs="Calibri"/>
          <w:sz w:val="18"/>
        </w:rPr>
        <w:footnoteRef/>
      </w:r>
      <w:r>
        <w:rPr>
          <w:rFonts w:ascii="Garamond" w:hAnsi="Garamond"/>
          <w:sz w:val="18"/>
        </w:rPr>
        <w:t xml:space="preserve"> M. Adler, </w:t>
      </w:r>
      <w:r>
        <w:rPr>
          <w:rFonts w:ascii="Garamond" w:hAnsi="Garamond"/>
          <w:i/>
          <w:sz w:val="18"/>
        </w:rPr>
        <w:t>Der Krieg, die Congressidee und die allgemeine Wehrpflicht</w:t>
      </w:r>
      <w:r>
        <w:rPr>
          <w:rFonts w:ascii="Garamond" w:hAnsi="Garamond"/>
          <w:sz w:val="18"/>
        </w:rPr>
        <w:t xml:space="preserve">, Steihauser, Praha 1868 e N. Villiaumé, </w:t>
      </w:r>
      <w:r>
        <w:rPr>
          <w:rFonts w:ascii="Garamond" w:hAnsi="Garamond"/>
          <w:i/>
          <w:sz w:val="18"/>
        </w:rPr>
        <w:t>L’esprit</w:t>
      </w:r>
      <w:r>
        <w:rPr>
          <w:rFonts w:ascii="Garamond" w:hAnsi="Garamond"/>
          <w:i/>
          <w:sz w:val="18"/>
        </w:rPr>
        <w:t xml:space="preserve"> de la guerre, </w:t>
      </w:r>
      <w:r>
        <w:rPr>
          <w:rFonts w:ascii="Garamond" w:hAnsi="Garamond"/>
          <w:sz w:val="18"/>
        </w:rPr>
        <w:t>Dupont, Paris 1866</w:t>
      </w:r>
      <w:r>
        <w:rPr>
          <w:rFonts w:ascii="Garamond" w:hAnsi="Garamond"/>
          <w:smallCaps/>
          <w:sz w:val="18"/>
        </w:rPr>
        <w:t>.</w:t>
      </w:r>
    </w:p>
  </w:footnote>
  <w:footnote w:id="28">
    <w:p w:rsidR="0046662B" w:rsidRDefault="00BD4B6A">
      <w:pPr>
        <w:pStyle w:val="Testonotaapidipagina1"/>
      </w:pPr>
      <w:r>
        <w:rPr>
          <w:rStyle w:val="Rimandonotaapidipagina1"/>
          <w:rFonts w:ascii="Garamond" w:hAnsi="Garamond" w:cs="Calibri"/>
          <w:sz w:val="18"/>
        </w:rPr>
        <w:footnoteRef/>
      </w:r>
      <w:r>
        <w:rPr>
          <w:rFonts w:ascii="Garamond" w:hAnsi="Garamond"/>
          <w:sz w:val="18"/>
        </w:rPr>
        <w:t xml:space="preserve"> </w:t>
      </w:r>
      <w:r>
        <w:rPr>
          <w:rFonts w:ascii="Garamond" w:hAnsi="Garamond" w:cs="Times New Roman"/>
          <w:sz w:val="18"/>
        </w:rPr>
        <w:t xml:space="preserve">F. Passy,  </w:t>
      </w:r>
      <w:r>
        <w:rPr>
          <w:rFonts w:ascii="Garamond" w:hAnsi="Garamond" w:cs="Times New Roman"/>
          <w:i/>
          <w:sz w:val="18"/>
        </w:rPr>
        <w:t>L’arbitrage international</w:t>
      </w:r>
      <w:r>
        <w:rPr>
          <w:rFonts w:ascii="Garamond" w:hAnsi="Garamond" w:cs="Times New Roman"/>
          <w:sz w:val="18"/>
        </w:rPr>
        <w:t>, Dupont, Paris 1879, pp. 3-4</w:t>
      </w:r>
      <w:r>
        <w:rPr>
          <w:rFonts w:ascii="Garamond" w:hAnsi="Garamond"/>
          <w:sz w:val="18"/>
        </w:rPr>
        <w:t>.</w:t>
      </w:r>
    </w:p>
  </w:footnote>
  <w:footnote w:id="29">
    <w:p w:rsidR="0046662B" w:rsidRDefault="00BD4B6A">
      <w:pPr>
        <w:pStyle w:val="Testonotaapidipagina1"/>
        <w:jc w:val="both"/>
      </w:pPr>
      <w:r>
        <w:rPr>
          <w:rStyle w:val="Caratteredellanota"/>
          <w:rFonts w:ascii="Garamond" w:hAnsi="Garamond" w:cs="Times New Roman"/>
          <w:sz w:val="18"/>
        </w:rPr>
        <w:footnoteRef/>
      </w:r>
      <w:r>
        <w:rPr>
          <w:rFonts w:ascii="Garamond" w:hAnsi="Garamond"/>
          <w:sz w:val="18"/>
        </w:rPr>
        <w:t xml:space="preserve"> </w:t>
      </w:r>
      <w:r>
        <w:rPr>
          <w:rFonts w:ascii="Garamond" w:hAnsi="Garamond"/>
          <w:i/>
          <w:sz w:val="18"/>
        </w:rPr>
        <w:t>Lige Internationale de la paix</w:t>
      </w:r>
      <w:r>
        <w:rPr>
          <w:rFonts w:ascii="Garamond" w:hAnsi="Garamond"/>
          <w:sz w:val="18"/>
        </w:rPr>
        <w:t xml:space="preserve"> (1867), </w:t>
      </w:r>
      <w:r>
        <w:rPr>
          <w:rFonts w:ascii="Garamond" w:hAnsi="Garamond"/>
          <w:i/>
          <w:sz w:val="18"/>
        </w:rPr>
        <w:t>Société d’arbitrage entre les nations</w:t>
      </w:r>
      <w:r>
        <w:rPr>
          <w:rFonts w:ascii="Garamond" w:hAnsi="Garamond"/>
          <w:sz w:val="18"/>
        </w:rPr>
        <w:t xml:space="preserve"> (1870) et </w:t>
      </w:r>
      <w:r>
        <w:rPr>
          <w:rFonts w:ascii="Garamond" w:hAnsi="Garamond"/>
          <w:i/>
          <w:sz w:val="18"/>
        </w:rPr>
        <w:t>Union internationale de la Paix</w:t>
      </w:r>
      <w:r>
        <w:rPr>
          <w:rFonts w:ascii="Garamond" w:hAnsi="Garamond"/>
          <w:sz w:val="18"/>
        </w:rPr>
        <w:t xml:space="preserve"> (1890).</w:t>
      </w:r>
    </w:p>
  </w:footnote>
  <w:footnote w:id="30">
    <w:p w:rsidR="0046662B" w:rsidRDefault="00BD4B6A">
      <w:pPr>
        <w:pStyle w:val="Testonotaapidipagina1"/>
        <w:jc w:val="both"/>
      </w:pPr>
      <w:r>
        <w:rPr>
          <w:rStyle w:val="Caratteredellanota"/>
          <w:rFonts w:ascii="Garamond" w:hAnsi="Garamond" w:cs="Times New Roman"/>
          <w:sz w:val="18"/>
        </w:rPr>
        <w:footnoteRef/>
      </w:r>
      <w:r>
        <w:rPr>
          <w:rFonts w:ascii="Garamond" w:hAnsi="Garamond"/>
          <w:sz w:val="18"/>
        </w:rPr>
        <w:t xml:space="preserve"> On. Salvatore Morelli, il 18 giugno 1871 (XI legislatura).</w:t>
      </w:r>
      <w:r>
        <w:rPr>
          <w:rStyle w:val="Rimandonotaapidipagina3"/>
          <w:rFonts w:ascii="Garamond" w:hAnsi="Garamond" w:cs="Times New Roman"/>
          <w:sz w:val="18"/>
        </w:rPr>
        <w:t xml:space="preserve">  </w:t>
      </w:r>
    </w:p>
  </w:footnote>
  <w:footnote w:id="31">
    <w:p w:rsidR="0046662B" w:rsidRDefault="00BD4B6A">
      <w:pPr>
        <w:pStyle w:val="Testonotaapidipagina1"/>
        <w:jc w:val="both"/>
      </w:pPr>
      <w:r>
        <w:rPr>
          <w:rStyle w:val="Caratteredellanota"/>
          <w:rFonts w:ascii="Garamond" w:hAnsi="Garamond" w:cs="Times New Roman"/>
          <w:sz w:val="18"/>
        </w:rPr>
        <w:footnoteRef/>
      </w:r>
      <w:r>
        <w:rPr>
          <w:rFonts w:ascii="Garamond" w:hAnsi="Garamond"/>
          <w:sz w:val="18"/>
        </w:rPr>
        <w:t xml:space="preserve"> Voir </w:t>
      </w:r>
      <w:r>
        <w:rPr>
          <w:rFonts w:ascii="Garamond" w:hAnsi="Garamond"/>
          <w:i/>
          <w:sz w:val="18"/>
        </w:rPr>
        <w:t>Official Report of the Fifth Universal Peace Congress</w:t>
      </w:r>
      <w:r>
        <w:rPr>
          <w:rFonts w:ascii="Garamond" w:hAnsi="Garamond"/>
          <w:sz w:val="18"/>
        </w:rPr>
        <w:t>, The American Peace Society, Chicago 1893.</w:t>
      </w:r>
    </w:p>
  </w:footnote>
  <w:footnote w:id="32">
    <w:p w:rsidR="0046662B" w:rsidRDefault="00BD4B6A">
      <w:pPr>
        <w:jc w:val="both"/>
      </w:pPr>
      <w:r>
        <w:rPr>
          <w:rStyle w:val="Caratteredellanota"/>
          <w:rFonts w:ascii="Garamond" w:hAnsi="Garamond"/>
          <w:sz w:val="18"/>
        </w:rPr>
        <w:footnoteRef/>
      </w:r>
      <w:r>
        <w:rPr>
          <w:rFonts w:ascii="Garamond" w:hAnsi="Garamond"/>
          <w:sz w:val="18"/>
        </w:rPr>
        <w:t xml:space="preserve"> Voir Y. Zarjevski (1989), </w:t>
      </w:r>
      <w:r>
        <w:rPr>
          <w:rFonts w:ascii="Garamond" w:hAnsi="Garamond"/>
          <w:i/>
          <w:sz w:val="18"/>
        </w:rPr>
        <w:t>La Tribune des peuples. Histoire de l’Union interparlementaire</w:t>
      </w:r>
      <w:r>
        <w:rPr>
          <w:rFonts w:ascii="Garamond" w:hAnsi="Garamond"/>
          <w:i/>
          <w:sz w:val="18"/>
        </w:rPr>
        <w:t xml:space="preserve">  1889-1989</w:t>
      </w:r>
      <w:r>
        <w:rPr>
          <w:rFonts w:ascii="Garamond" w:hAnsi="Garamond"/>
          <w:sz w:val="18"/>
        </w:rPr>
        <w:t>, Payot, Lausanne 1989.</w:t>
      </w:r>
    </w:p>
  </w:footnote>
  <w:footnote w:id="33">
    <w:p w:rsidR="0046662B" w:rsidRDefault="00BD4B6A">
      <w:pPr>
        <w:pStyle w:val="Testonotaapidipagina1"/>
        <w:jc w:val="both"/>
      </w:pPr>
      <w:r>
        <w:rPr>
          <w:rStyle w:val="Rimandonotaapidipagina1"/>
          <w:rFonts w:ascii="Garamond" w:hAnsi="Garamond" w:cs="Calibri"/>
          <w:sz w:val="18"/>
        </w:rPr>
        <w:footnoteRef/>
      </w:r>
      <w:r>
        <w:rPr>
          <w:rFonts w:ascii="Garamond" w:hAnsi="Garamond"/>
          <w:sz w:val="18"/>
        </w:rPr>
        <w:t xml:space="preserve"> Voir </w:t>
      </w:r>
      <w:r>
        <w:rPr>
          <w:rFonts w:ascii="Garamond" w:hAnsi="Garamond" w:cs="Times New Roman"/>
          <w:sz w:val="18"/>
        </w:rPr>
        <w:t xml:space="preserve">N.M. Blake, </w:t>
      </w:r>
      <w:r>
        <w:rPr>
          <w:rFonts w:ascii="Garamond" w:hAnsi="Garamond" w:cs="Times New Roman"/>
          <w:i/>
          <w:sz w:val="18"/>
        </w:rPr>
        <w:t>The Onley-Pauncefote Treaty of 1897</w:t>
      </w:r>
      <w:r>
        <w:rPr>
          <w:rFonts w:ascii="Garamond" w:hAnsi="Garamond" w:cs="Times New Roman"/>
          <w:sz w:val="18"/>
        </w:rPr>
        <w:t>, in «The American Historical Review», vol. 50, 1945, pp. 228-243 e</w:t>
      </w:r>
      <w:r>
        <w:rPr>
          <w:rFonts w:ascii="Garamond" w:hAnsi="Garamond"/>
          <w:sz w:val="18"/>
        </w:rPr>
        <w:t>t L. Tedoldi,</w:t>
      </w:r>
      <w:r>
        <w:rPr>
          <w:rFonts w:ascii="Garamond" w:hAnsi="Garamond"/>
          <w:i/>
          <w:sz w:val="18"/>
        </w:rPr>
        <w:t xml:space="preserve"> Costruire la giustizia internazionale. Alle origini delle organizzazioni giudiziarie i</w:t>
      </w:r>
      <w:r>
        <w:rPr>
          <w:rFonts w:ascii="Garamond" w:hAnsi="Garamond"/>
          <w:i/>
          <w:sz w:val="18"/>
        </w:rPr>
        <w:t>nternazionali: temi e problemi</w:t>
      </w:r>
      <w:r>
        <w:rPr>
          <w:rFonts w:ascii="Garamond" w:hAnsi="Garamond"/>
          <w:sz w:val="18"/>
        </w:rPr>
        <w:t>, in “Annali dell’Istituto storico italo-germanico in Trento”, XXXV/2009, 2010, pp. 11-37</w:t>
      </w:r>
      <w:r>
        <w:rPr>
          <w:rFonts w:ascii="Garamond" w:hAnsi="Garamond"/>
          <w:smallCaps/>
          <w:sz w:val="18"/>
        </w:rPr>
        <w:t>.</w:t>
      </w:r>
    </w:p>
  </w:footnote>
  <w:footnote w:id="34">
    <w:p w:rsidR="0046662B" w:rsidRDefault="00BD4B6A">
      <w:pPr>
        <w:jc w:val="both"/>
      </w:pPr>
      <w:r>
        <w:rPr>
          <w:rStyle w:val="Caratteredellanota"/>
          <w:rFonts w:ascii="Garamond" w:hAnsi="Garamond"/>
          <w:sz w:val="18"/>
        </w:rPr>
        <w:footnoteRef/>
      </w:r>
      <w:r>
        <w:rPr>
          <w:rFonts w:ascii="Garamond" w:hAnsi="Garamond"/>
          <w:sz w:val="18"/>
        </w:rPr>
        <w:t xml:space="preserve"> Tobias Asser, Baron d’Estournelles de Constant, Heinrich Lammasch, Frederic Von Martens, Edouard Odier e Philipp Zorn, le président d</w:t>
      </w:r>
      <w:r>
        <w:rPr>
          <w:rFonts w:ascii="Garamond" w:hAnsi="Garamond"/>
          <w:sz w:val="18"/>
        </w:rPr>
        <w:t xml:space="preserve">e la Commission  Léon Bourgeois. </w:t>
      </w:r>
    </w:p>
  </w:footnote>
  <w:footnote w:id="35">
    <w:p w:rsidR="0046662B" w:rsidRDefault="00BD4B6A">
      <w:pPr>
        <w:jc w:val="both"/>
      </w:pPr>
      <w:r>
        <w:rPr>
          <w:rStyle w:val="Rimandonotaapidipagina1"/>
          <w:rFonts w:ascii="Garamond" w:hAnsi="Garamond"/>
          <w:sz w:val="18"/>
        </w:rPr>
        <w:footnoteRef/>
      </w:r>
      <w:r>
        <w:rPr>
          <w:rFonts w:ascii="Garamond" w:hAnsi="Garamond"/>
          <w:sz w:val="18"/>
        </w:rPr>
        <w:t xml:space="preserve"> Voir C. Reid, (2004), </w:t>
      </w:r>
      <w:r>
        <w:rPr>
          <w:rFonts w:ascii="Garamond" w:hAnsi="Garamond"/>
          <w:i/>
          <w:sz w:val="18"/>
        </w:rPr>
        <w:t>Peace and Law-Peace Activism and International Arbitration, 1895-1907</w:t>
      </w:r>
      <w:r>
        <w:rPr>
          <w:rFonts w:ascii="Garamond" w:hAnsi="Garamond"/>
          <w:sz w:val="18"/>
        </w:rPr>
        <w:t xml:space="preserve">, in «Peace and change», vol. 29, n. 3 - 6, pp. 540-54, J. Brown Scott, </w:t>
      </w:r>
      <w:r>
        <w:rPr>
          <w:rFonts w:ascii="Garamond" w:hAnsi="Garamond"/>
          <w:i/>
          <w:sz w:val="18"/>
        </w:rPr>
        <w:t>Texts of the Peace Conferences at the Hague, 1899 and 190</w:t>
      </w:r>
      <w:r>
        <w:rPr>
          <w:rFonts w:ascii="Garamond" w:hAnsi="Garamond"/>
          <w:i/>
          <w:sz w:val="18"/>
        </w:rPr>
        <w:t>7: with English Translation and Appendix of Related Documents</w:t>
      </w:r>
      <w:r>
        <w:rPr>
          <w:rFonts w:ascii="Garamond" w:hAnsi="Garamond"/>
          <w:sz w:val="18"/>
        </w:rPr>
        <w:t xml:space="preserve">, Ginn &amp; company, Boston-Lndon 1908 et Fredericks Holls, Seth Low e Andrew D. White, Voir Id., </w:t>
      </w:r>
      <w:r>
        <w:rPr>
          <w:rFonts w:ascii="Garamond" w:hAnsi="Garamond"/>
          <w:i/>
          <w:sz w:val="18"/>
        </w:rPr>
        <w:t xml:space="preserve">The Proceedings of the Hague Peace Conference. Translation of the Official Texts the Conferences of </w:t>
      </w:r>
      <w:r>
        <w:rPr>
          <w:rFonts w:ascii="Garamond" w:hAnsi="Garamond"/>
          <w:i/>
          <w:sz w:val="18"/>
        </w:rPr>
        <w:t>1899 and 1907</w:t>
      </w:r>
      <w:r>
        <w:rPr>
          <w:rFonts w:ascii="Garamond" w:hAnsi="Garamond"/>
          <w:sz w:val="18"/>
        </w:rPr>
        <w:t>, Clarendon, Oxford 1920.</w:t>
      </w:r>
    </w:p>
  </w:footnote>
  <w:footnote w:id="36">
    <w:p w:rsidR="0046662B" w:rsidRDefault="00BD4B6A">
      <w:pPr>
        <w:pStyle w:val="Testonotaapidipagina1"/>
        <w:jc w:val="both"/>
      </w:pPr>
      <w:r>
        <w:rPr>
          <w:rStyle w:val="Caratteredellanota"/>
          <w:rFonts w:ascii="Garamond" w:hAnsi="Garamond" w:cs="Times New Roman"/>
          <w:sz w:val="18"/>
        </w:rPr>
        <w:footnoteRef/>
      </w:r>
      <w:r>
        <w:rPr>
          <w:rFonts w:ascii="Garamond" w:hAnsi="Garamond"/>
          <w:sz w:val="18"/>
        </w:rPr>
        <w:t xml:space="preserve"> Cette attitude politique allemande, pas entièrement partagée par certains membres de la délégation, comme Philipp Zorn, un ardent défenseur de l'institution de la Cour permanente, cependant, n'</w:t>
      </w:r>
      <w:r>
        <w:rPr>
          <w:rFonts w:ascii="Garamond" w:hAnsi="Garamond"/>
          <w:sz w:val="18"/>
        </w:rPr>
        <w:t>a pas été soutenue même par les habituels allies: l’Autriche et l'Italie. Voir</w:t>
      </w:r>
      <w:r>
        <w:rPr>
          <w:rFonts w:ascii="Garamond" w:hAnsi="Garamond" w:cs="Times New Roman"/>
          <w:sz w:val="18"/>
        </w:rPr>
        <w:t xml:space="preserve"> I.Hueck, </w:t>
      </w:r>
      <w:r>
        <w:rPr>
          <w:rFonts w:ascii="Garamond" w:hAnsi="Garamond" w:cs="Times New Roman"/>
          <w:i/>
          <w:sz w:val="18"/>
        </w:rPr>
        <w:t>Peace, security and international organisations: the German international lawyers and the Hague conférences</w:t>
      </w:r>
      <w:r>
        <w:rPr>
          <w:rFonts w:ascii="Garamond" w:hAnsi="Garamond" w:cs="Times New Roman"/>
          <w:sz w:val="18"/>
        </w:rPr>
        <w:t xml:space="preserve">, in R. Lesaffer (ed.), </w:t>
      </w:r>
      <w:r>
        <w:rPr>
          <w:rFonts w:ascii="Garamond" w:hAnsi="Garamond" w:cs="Times New Roman"/>
          <w:i/>
          <w:sz w:val="18"/>
        </w:rPr>
        <w:t xml:space="preserve">Peace Treaties and International Law </w:t>
      </w:r>
      <w:r>
        <w:rPr>
          <w:rFonts w:ascii="Garamond" w:hAnsi="Garamond" w:cs="Times New Roman"/>
          <w:i/>
          <w:sz w:val="18"/>
        </w:rPr>
        <w:t>in European history</w:t>
      </w:r>
      <w:r>
        <w:rPr>
          <w:rFonts w:ascii="Garamond" w:hAnsi="Garamond" w:cs="Times New Roman"/>
          <w:sz w:val="18"/>
        </w:rPr>
        <w:t xml:space="preserve">, Cambridge University Press, Cambridge  2004, pp. 266-267 e L. Oppenheim, </w:t>
      </w:r>
      <w:r>
        <w:rPr>
          <w:rFonts w:ascii="Garamond" w:hAnsi="Garamond" w:cs="Times New Roman"/>
          <w:i/>
          <w:sz w:val="18"/>
        </w:rPr>
        <w:t>International Law. A Treatise</w:t>
      </w:r>
      <w:r>
        <w:rPr>
          <w:rFonts w:ascii="Garamond" w:hAnsi="Garamond" w:cs="Times New Roman"/>
          <w:sz w:val="18"/>
        </w:rPr>
        <w:t>, vol.I, Longmans, Green &amp; co., London-New York 1905, p. 28 ss.</w:t>
      </w:r>
    </w:p>
  </w:footnote>
  <w:footnote w:id="37">
    <w:p w:rsidR="0046662B" w:rsidRDefault="00BD4B6A">
      <w:pPr>
        <w:pStyle w:val="Testonotaapidipagina1"/>
        <w:jc w:val="both"/>
      </w:pPr>
      <w:r>
        <w:rPr>
          <w:rStyle w:val="Rimandonotaapidipagina1"/>
          <w:rFonts w:ascii="Garamond" w:hAnsi="Garamond" w:cs="Calibri"/>
          <w:sz w:val="18"/>
        </w:rPr>
        <w:footnoteRef/>
      </w:r>
      <w:r>
        <w:rPr>
          <w:rFonts w:ascii="Garamond" w:hAnsi="Garamond"/>
          <w:sz w:val="18"/>
        </w:rPr>
        <w:t xml:space="preserve"> Mérignhac,</w:t>
      </w:r>
      <w:r>
        <w:rPr>
          <w:rFonts w:ascii="Garamond" w:hAnsi="Garamond"/>
          <w:i/>
          <w:sz w:val="18"/>
        </w:rPr>
        <w:t xml:space="preserve"> Traité théorique et pratique de l’arbitrage</w:t>
      </w:r>
      <w:r>
        <w:rPr>
          <w:rFonts w:ascii="Garamond" w:hAnsi="Garamond"/>
          <w:sz w:val="18"/>
        </w:rPr>
        <w:t>., pp. 318-31</w:t>
      </w:r>
      <w:r>
        <w:rPr>
          <w:rFonts w:ascii="Garamond" w:hAnsi="Garamond"/>
          <w:sz w:val="18"/>
        </w:rPr>
        <w:t>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67E"/>
    <w:multiLevelType w:val="singleLevel"/>
    <w:tmpl w:val="393AEABA"/>
    <w:lvl w:ilvl="0">
      <w:start w:val="1"/>
      <w:numFmt w:val="bullet"/>
      <w:pStyle w:val="Puntoelenco1"/>
      <w:lvlText w:val=""/>
      <w:lvlJc w:val="left"/>
      <w:pPr>
        <w:tabs>
          <w:tab w:val="num" w:pos="360"/>
        </w:tabs>
        <w:ind w:left="360" w:hanging="360"/>
      </w:pPr>
      <w:rPr>
        <w:rFonts w:ascii="Symbol" w:hAnsi="Symbol"/>
      </w:rPr>
    </w:lvl>
  </w:abstractNum>
  <w:abstractNum w:abstractNumId="1">
    <w:nsid w:val="3C913616"/>
    <w:multiLevelType w:val="multilevel"/>
    <w:tmpl w:val="4C64E9F0"/>
    <w:lvl w:ilvl="0">
      <w:start w:val="1"/>
      <w:numFmt w:val="none"/>
      <w:suff w:val="space"/>
      <w:lvlText w:val=""/>
      <w:lvlJc w:val="left"/>
      <w:pPr>
        <w:tabs>
          <w:tab w:val="num" w:pos="0"/>
        </w:tabs>
      </w:pPr>
      <w:rPr>
        <w:rFonts w:cs="Times New Roman"/>
      </w:rPr>
    </w:lvl>
    <w:lvl w:ilvl="1">
      <w:start w:val="1"/>
      <w:numFmt w:val="none"/>
      <w:suff w:val="space"/>
      <w:lvlText w:val=""/>
      <w:lvlJc w:val="left"/>
      <w:pPr>
        <w:tabs>
          <w:tab w:val="num" w:pos="0"/>
        </w:tabs>
      </w:pPr>
      <w:rPr>
        <w:rFonts w:cs="Times New Roman"/>
      </w:rPr>
    </w:lvl>
    <w:lvl w:ilvl="2">
      <w:start w:val="1"/>
      <w:numFmt w:val="none"/>
      <w:suff w:val="space"/>
      <w:lvlText w:val=""/>
      <w:lvlJc w:val="left"/>
      <w:pPr>
        <w:tabs>
          <w:tab w:val="num" w:pos="0"/>
        </w:tabs>
      </w:pPr>
      <w:rPr>
        <w:rFonts w:cs="Times New Roman"/>
      </w:rPr>
    </w:lvl>
    <w:lvl w:ilvl="3">
      <w:start w:val="1"/>
      <w:numFmt w:val="none"/>
      <w:suff w:val="space"/>
      <w:lvlText w:val=""/>
      <w:lvlJc w:val="left"/>
      <w:pPr>
        <w:tabs>
          <w:tab w:val="num" w:pos="0"/>
        </w:tabs>
      </w:pPr>
      <w:rPr>
        <w:rFonts w:cs="Times New Roman"/>
      </w:rPr>
    </w:lvl>
    <w:lvl w:ilvl="4">
      <w:start w:val="1"/>
      <w:numFmt w:val="none"/>
      <w:suff w:val="space"/>
      <w:lvlText w:val=""/>
      <w:lvlJc w:val="left"/>
      <w:pPr>
        <w:tabs>
          <w:tab w:val="num" w:pos="0"/>
        </w:tabs>
      </w:pPr>
      <w:rPr>
        <w:rFonts w:cs="Times New Roman"/>
      </w:rPr>
    </w:lvl>
    <w:lvl w:ilvl="5">
      <w:start w:val="1"/>
      <w:numFmt w:val="none"/>
      <w:suff w:val="space"/>
      <w:lvlText w:val=""/>
      <w:lvlJc w:val="left"/>
      <w:pPr>
        <w:tabs>
          <w:tab w:val="num" w:pos="0"/>
        </w:tabs>
      </w:pPr>
      <w:rPr>
        <w:rFonts w:cs="Times New Roman"/>
      </w:rPr>
    </w:lvl>
    <w:lvl w:ilvl="6">
      <w:start w:val="1"/>
      <w:numFmt w:val="none"/>
      <w:suff w:val="space"/>
      <w:lvlText w:val=""/>
      <w:lvlJc w:val="left"/>
      <w:pPr>
        <w:tabs>
          <w:tab w:val="num" w:pos="0"/>
        </w:tabs>
      </w:pPr>
      <w:rPr>
        <w:rFonts w:cs="Times New Roman"/>
      </w:rPr>
    </w:lvl>
    <w:lvl w:ilvl="7">
      <w:start w:val="1"/>
      <w:numFmt w:val="none"/>
      <w:suff w:val="space"/>
      <w:lvlText w:val=""/>
      <w:lvlJc w:val="left"/>
      <w:pPr>
        <w:tabs>
          <w:tab w:val="num" w:pos="0"/>
        </w:tabs>
      </w:pPr>
      <w:rPr>
        <w:rFonts w:cs="Times New Roman"/>
      </w:rPr>
    </w:lvl>
    <w:lvl w:ilvl="8">
      <w:start w:val="1"/>
      <w:numFmt w:val="none"/>
      <w:suff w:val="space"/>
      <w:lvlText w:val=""/>
      <w:lvlJc w:val="left"/>
      <w:pPr>
        <w:tabs>
          <w:tab w:val="num" w:pos="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919"/>
    <w:rsid w:val="0007035E"/>
    <w:rsid w:val="00085463"/>
    <w:rsid w:val="000D294B"/>
    <w:rsid w:val="000D687C"/>
    <w:rsid w:val="001223FA"/>
    <w:rsid w:val="0021783C"/>
    <w:rsid w:val="00256C5F"/>
    <w:rsid w:val="00264F6B"/>
    <w:rsid w:val="002C2EB1"/>
    <w:rsid w:val="0032423D"/>
    <w:rsid w:val="00357EE9"/>
    <w:rsid w:val="003D715C"/>
    <w:rsid w:val="003E64A8"/>
    <w:rsid w:val="00406007"/>
    <w:rsid w:val="00452919"/>
    <w:rsid w:val="0046662B"/>
    <w:rsid w:val="00466D67"/>
    <w:rsid w:val="00471919"/>
    <w:rsid w:val="0047595B"/>
    <w:rsid w:val="004D3D06"/>
    <w:rsid w:val="0061762F"/>
    <w:rsid w:val="006367A5"/>
    <w:rsid w:val="00651ED6"/>
    <w:rsid w:val="0068306F"/>
    <w:rsid w:val="006A11CA"/>
    <w:rsid w:val="006D6A57"/>
    <w:rsid w:val="0076169A"/>
    <w:rsid w:val="007E4274"/>
    <w:rsid w:val="00874554"/>
    <w:rsid w:val="008F5302"/>
    <w:rsid w:val="009207E0"/>
    <w:rsid w:val="009A1F5C"/>
    <w:rsid w:val="009D4F2C"/>
    <w:rsid w:val="00A97C14"/>
    <w:rsid w:val="00AC2BF9"/>
    <w:rsid w:val="00BD4B6A"/>
    <w:rsid w:val="00C26765"/>
    <w:rsid w:val="00C409DE"/>
    <w:rsid w:val="00CE55EE"/>
    <w:rsid w:val="00D12393"/>
    <w:rsid w:val="00D24BAB"/>
    <w:rsid w:val="00D57E1E"/>
    <w:rsid w:val="00DA2F86"/>
    <w:rsid w:val="00DF18E7"/>
    <w:rsid w:val="00E64BC9"/>
    <w:rsid w:val="00E86755"/>
    <w:rsid w:val="00E97E4E"/>
    <w:rsid w:val="00ED7A53"/>
    <w:rsid w:val="00F325C3"/>
    <w:rsid w:val="00F90F5E"/>
    <w:rsid w:val="00FA7DE0"/>
    <w:rsid w:val="00FD1FC1"/>
    <w:rsid w:val="00FF2F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99"/>
    <w:qFormat/>
    <w:rPr>
      <w:sz w:val="24"/>
    </w:rPr>
  </w:style>
  <w:style w:type="paragraph" w:styleId="Titolo1">
    <w:name w:val="heading 1"/>
    <w:basedOn w:val="Normale"/>
    <w:next w:val="Normale"/>
    <w:link w:val="Titolo1Carattere1"/>
    <w:uiPriority w:val="9"/>
    <w:qFormat/>
    <w:pPr>
      <w:keepNext/>
      <w:keepLines/>
      <w:spacing w:before="480"/>
      <w:outlineLvl w:val="0"/>
    </w:pPr>
    <w:rPr>
      <w:rFonts w:asciiTheme="majorHAnsi" w:eastAsiaTheme="majorEastAsia" w:hAnsiTheme="majorHAnsi" w:cstheme="majorBidi"/>
      <w:b/>
      <w:color w:val="365F91" w:themeColor="accent1" w:themeShade="BF"/>
      <w:sz w:val="28"/>
    </w:rPr>
  </w:style>
  <w:style w:type="paragraph" w:styleId="Titolo2">
    <w:name w:val="heading 2"/>
    <w:basedOn w:val="Normale"/>
    <w:next w:val="Normale"/>
    <w:link w:val="Titolo2Carattere1"/>
    <w:uiPriority w:val="9"/>
    <w:semiHidden/>
    <w:unhideWhenUsed/>
    <w:qFormat/>
    <w:pPr>
      <w:keepNext/>
      <w:keepLines/>
      <w:spacing w:before="200"/>
      <w:outlineLvl w:val="1"/>
    </w:pPr>
    <w:rPr>
      <w:rFonts w:asciiTheme="majorHAnsi" w:eastAsiaTheme="majorEastAsia" w:hAnsiTheme="majorHAnsi" w:cstheme="majorBidi"/>
      <w:b/>
      <w:color w:val="4F81BD" w:themeColor="accent1"/>
      <w:sz w:val="26"/>
    </w:rPr>
  </w:style>
  <w:style w:type="paragraph" w:styleId="Titolo3">
    <w:name w:val="heading 3"/>
    <w:basedOn w:val="Normale"/>
    <w:next w:val="Normale"/>
    <w:link w:val="Titolo3Carattere1"/>
    <w:uiPriority w:val="9"/>
    <w:semiHidden/>
    <w:unhideWhenUsed/>
    <w:qFormat/>
    <w:pPr>
      <w:keepNext/>
      <w:keepLines/>
      <w:spacing w:before="200"/>
      <w:outlineLvl w:val="2"/>
    </w:pPr>
    <w:rPr>
      <w:rFonts w:asciiTheme="majorHAnsi" w:eastAsiaTheme="majorEastAsia" w:hAnsiTheme="majorHAnsi" w:cstheme="majorBidi"/>
      <w:b/>
      <w:color w:val="4F81BD" w:themeColor="accent1"/>
    </w:rPr>
  </w:style>
  <w:style w:type="paragraph" w:styleId="Titolo4">
    <w:name w:val="heading 4"/>
    <w:basedOn w:val="Normale"/>
    <w:next w:val="Normale"/>
    <w:link w:val="Titolo4Carattere"/>
    <w:uiPriority w:val="9"/>
    <w:semiHidden/>
    <w:unhideWhenUsed/>
    <w:qFormat/>
    <w:pPr>
      <w:keepNext/>
      <w:keepLines/>
      <w:spacing w:before="200"/>
      <w:outlineLvl w:val="3"/>
    </w:pPr>
    <w:rPr>
      <w:rFonts w:asciiTheme="majorHAnsi" w:eastAsiaTheme="majorEastAsia" w:hAnsiTheme="majorHAnsi" w:cstheme="majorBidi"/>
      <w:b/>
      <w:i/>
      <w:color w:val="4F81BD" w:themeColor="accent1"/>
    </w:rPr>
  </w:style>
  <w:style w:type="paragraph" w:styleId="Titolo5">
    <w:name w:val="heading 5"/>
    <w:basedOn w:val="Normale"/>
    <w:next w:val="Normale"/>
    <w:link w:val="Titolo5Carattere1"/>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1"/>
    <w:uiPriority w:val="9"/>
    <w:semiHidden/>
    <w:unhideWhenUsed/>
    <w:qFormat/>
    <w:pPr>
      <w:keepNext/>
      <w:keepLines/>
      <w:spacing w:before="200"/>
      <w:outlineLvl w:val="5"/>
    </w:pPr>
    <w:rPr>
      <w:rFonts w:asciiTheme="majorHAnsi" w:eastAsiaTheme="majorEastAsia" w:hAnsiTheme="majorHAnsi" w:cstheme="majorBidi"/>
      <w:i/>
      <w:color w:val="243F60" w:themeColor="accent1" w:themeShade="7F"/>
    </w:rPr>
  </w:style>
  <w:style w:type="paragraph" w:styleId="Titolo7">
    <w:name w:val="heading 7"/>
    <w:basedOn w:val="Normale"/>
    <w:next w:val="Normale"/>
    <w:link w:val="Titolo7Carattere1"/>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Titolo8">
    <w:name w:val="heading 8"/>
    <w:basedOn w:val="Normale"/>
    <w:next w:val="Normale"/>
    <w:link w:val="Titolo8Carattere1"/>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Titolo9">
    <w:name w:val="heading 9"/>
    <w:basedOn w:val="Normale"/>
    <w:next w:val="Normale"/>
    <w:link w:val="Titolo9Carattere1"/>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semiHidden/>
    <w:rPr>
      <w:sz w:val="24"/>
    </w:rPr>
  </w:style>
  <w:style w:type="paragraph" w:customStyle="1" w:styleId="Paragrafoelenco1">
    <w:name w:val="Paragrafo elenco1"/>
    <w:uiPriority w:val="99"/>
    <w:pPr>
      <w:ind w:left="720"/>
    </w:pPr>
    <w:rPr>
      <w:sz w:val="24"/>
    </w:rPr>
  </w:style>
  <w:style w:type="character" w:styleId="Rimandonotaapidipagina">
    <w:name w:val="footnote reference"/>
    <w:basedOn w:val="Carpredefinitoparagrafo"/>
    <w:uiPriority w:val="99"/>
    <w:semiHidden/>
    <w:unhideWhenUsed/>
    <w:rPr>
      <w:vertAlign w:val="superscript"/>
    </w:rPr>
  </w:style>
  <w:style w:type="character" w:customStyle="1" w:styleId="TitoloCarattere">
    <w:name w:val="Titolo Carattere"/>
    <w:basedOn w:val="Carpredefinitoparagrafo"/>
    <w:uiPriority w:val="99"/>
    <w:rPr>
      <w:rFonts w:cs="Times New Roman"/>
      <w:color w:val="17365D"/>
      <w:spacing w:val="5"/>
      <w:sz w:val="52"/>
    </w:rPr>
  </w:style>
  <w:style w:type="character" w:styleId="Enfasigrassetto">
    <w:name w:val="Strong"/>
    <w:basedOn w:val="Carpredefinitoparagrafo"/>
    <w:uiPriority w:val="22"/>
    <w:qFormat/>
    <w:rPr>
      <w:b/>
    </w:rPr>
  </w:style>
  <w:style w:type="paragraph" w:customStyle="1" w:styleId="Puntoelenco1">
    <w:name w:val="Punto elenco1"/>
    <w:uiPriority w:val="99"/>
    <w:pPr>
      <w:numPr>
        <w:numId w:val="2"/>
      </w:numPr>
    </w:pPr>
    <w:rPr>
      <w:rFonts w:cs="Calibri"/>
      <w:sz w:val="20"/>
    </w:rPr>
  </w:style>
  <w:style w:type="character" w:customStyle="1" w:styleId="Heading4Char">
    <w:name w:val="Heading 4 Char"/>
    <w:basedOn w:val="Carpredefinitoparagrafo"/>
    <w:uiPriority w:val="9"/>
    <w:rPr>
      <w:rFonts w:asciiTheme="majorHAnsi" w:eastAsiaTheme="majorEastAsia" w:hAnsiTheme="majorHAnsi" w:cstheme="majorBidi"/>
      <w:b/>
      <w:i/>
      <w:color w:val="4F81BD" w:themeColor="accent1"/>
    </w:rPr>
  </w:style>
  <w:style w:type="paragraph" w:styleId="Pidipagina">
    <w:name w:val="footer"/>
    <w:basedOn w:val="Normale"/>
    <w:link w:val="PidipaginaCarattere"/>
    <w:uiPriority w:val="99"/>
    <w:pPr>
      <w:tabs>
        <w:tab w:val="center" w:pos="4819"/>
        <w:tab w:val="right" w:pos="9638"/>
      </w:tabs>
    </w:pPr>
  </w:style>
  <w:style w:type="paragraph" w:styleId="Citazioneintensa">
    <w:name w:val="Intense Quote"/>
    <w:basedOn w:val="Normale"/>
    <w:next w:val="Normale"/>
    <w:link w:val="CitazioneintensaCarattere1"/>
    <w:uiPriority w:val="30"/>
    <w:qFormat/>
    <w:pPr>
      <w:pBdr>
        <w:bottom w:val="single" w:sz="4" w:space="0" w:color="4F81BD" w:themeColor="accent1"/>
      </w:pBdr>
      <w:spacing w:before="200" w:after="280"/>
      <w:ind w:left="936" w:right="936"/>
    </w:pPr>
    <w:rPr>
      <w:b/>
      <w:i/>
      <w:color w:val="4F81BD" w:themeColor="accent1"/>
    </w:rPr>
  </w:style>
  <w:style w:type="character" w:customStyle="1" w:styleId="Longtext">
    <w:name w:val="Long_text"/>
    <w:basedOn w:val="Carpredefinitoparagrafo"/>
    <w:uiPriority w:val="99"/>
    <w:rPr>
      <w:rFonts w:cs="Times New Roman"/>
    </w:rPr>
  </w:style>
  <w:style w:type="character" w:styleId="Enfasicorsivo">
    <w:name w:val="Emphasis"/>
    <w:basedOn w:val="Carpredefinitoparagrafo"/>
    <w:uiPriority w:val="20"/>
    <w:qFormat/>
    <w:rPr>
      <w:i/>
    </w:rPr>
  </w:style>
  <w:style w:type="character" w:styleId="Titolodellibro">
    <w:name w:val="Book Title"/>
    <w:basedOn w:val="Carpredefinitoparagrafo"/>
    <w:uiPriority w:val="33"/>
    <w:qFormat/>
    <w:rPr>
      <w:b/>
      <w:smallCaps/>
      <w:spacing w:val="5"/>
    </w:rPr>
  </w:style>
  <w:style w:type="character" w:customStyle="1" w:styleId="Titolo8Carattere">
    <w:name w:val="Titolo 8 Carattere"/>
    <w:basedOn w:val="Carpredefinitoparagrafo"/>
    <w:uiPriority w:val="99"/>
    <w:semiHidden/>
    <w:rPr>
      <w:rFonts w:cs="Times New Roman"/>
      <w:color w:val="404040"/>
    </w:rPr>
  </w:style>
  <w:style w:type="character" w:customStyle="1" w:styleId="Titolo4Carattere">
    <w:name w:val="Titolo 4 Carattere"/>
    <w:basedOn w:val="Carpredefinitoparagrafo"/>
    <w:link w:val="Titolo4"/>
    <w:uiPriority w:val="99"/>
    <w:semiHidden/>
    <w:rPr>
      <w:rFonts w:cs="Times New Roman"/>
      <w:b/>
      <w:i/>
      <w:color w:val="4F81BD"/>
      <w:sz w:val="24"/>
    </w:rPr>
  </w:style>
  <w:style w:type="paragraph" w:styleId="Citazione">
    <w:name w:val="Quote"/>
    <w:basedOn w:val="Normale"/>
    <w:link w:val="CitazioneCarattere"/>
    <w:uiPriority w:val="99"/>
    <w:qFormat/>
    <w:rPr>
      <w:i/>
      <w:color w:val="000000"/>
    </w:rPr>
  </w:style>
  <w:style w:type="character" w:customStyle="1" w:styleId="Enfasiintensa1">
    <w:name w:val="Enfasi intensa1"/>
    <w:basedOn w:val="Carpredefinitoparagrafo"/>
    <w:uiPriority w:val="99"/>
    <w:rPr>
      <w:rFonts w:cs="Times New Roman"/>
      <w:b/>
      <w:i/>
      <w:color w:val="4F81BD"/>
    </w:rPr>
  </w:style>
  <w:style w:type="character" w:styleId="Riferimentodelicato">
    <w:name w:val="Subtle Reference"/>
    <w:basedOn w:val="Carpredefinitoparagrafo"/>
    <w:uiPriority w:val="31"/>
    <w:qFormat/>
    <w:rPr>
      <w:smallCaps/>
      <w:color w:val="C0504D" w:themeColor="accent2"/>
      <w:u w:val="single"/>
    </w:rPr>
  </w:style>
  <w:style w:type="character" w:customStyle="1" w:styleId="Donkergrijsgrb">
    <w:name w:val="Donkergrijsgrb"/>
    <w:basedOn w:val="Carpredefinitoparagrafo"/>
    <w:uiPriority w:val="99"/>
    <w:rPr>
      <w:rFonts w:cs="Times New Roman"/>
    </w:rPr>
  </w:style>
  <w:style w:type="character" w:customStyle="1" w:styleId="CitazioneintensaCarattere1">
    <w:name w:val="Citazione intensa Carattere1"/>
    <w:basedOn w:val="Carpredefinitoparagrafo"/>
    <w:link w:val="Citazioneintensa"/>
    <w:uiPriority w:val="30"/>
    <w:rPr>
      <w:b/>
      <w:i/>
      <w:color w:val="4F81BD" w:themeColor="accent1"/>
    </w:rPr>
  </w:style>
  <w:style w:type="paragraph" w:customStyle="1" w:styleId="Testonotaapidipagina1">
    <w:name w:val="Testo nota a piè di pagina1"/>
    <w:link w:val="TestonotaapidipaginaCarattere"/>
    <w:uiPriority w:val="99"/>
    <w:rPr>
      <w:rFonts w:cs="Calibri"/>
      <w:sz w:val="24"/>
    </w:rPr>
  </w:style>
  <w:style w:type="character" w:customStyle="1" w:styleId="Titolo3Carattere1">
    <w:name w:val="Titolo 3 Carattere1"/>
    <w:basedOn w:val="Carpredefinitoparagrafo"/>
    <w:link w:val="Titolo3"/>
    <w:uiPriority w:val="9"/>
    <w:rPr>
      <w:rFonts w:asciiTheme="majorHAnsi" w:eastAsiaTheme="majorEastAsia" w:hAnsiTheme="majorHAnsi" w:cstheme="majorBidi"/>
      <w:b/>
      <w:color w:val="4F81BD" w:themeColor="accent1"/>
    </w:rPr>
  </w:style>
  <w:style w:type="character" w:customStyle="1" w:styleId="Titolo5Carattere1">
    <w:name w:val="Titolo 5 Carattere1"/>
    <w:basedOn w:val="Carpredefinitoparagrafo"/>
    <w:link w:val="Titolo5"/>
    <w:uiPriority w:val="9"/>
    <w:rPr>
      <w:rFonts w:asciiTheme="majorHAnsi" w:eastAsiaTheme="majorEastAsia" w:hAnsiTheme="majorHAnsi" w:cstheme="majorBidi"/>
      <w:color w:val="243F60" w:themeColor="accent1" w:themeShade="7F"/>
    </w:rPr>
  </w:style>
  <w:style w:type="character" w:customStyle="1" w:styleId="CitazioneCarattere">
    <w:name w:val="Citazione Carattere"/>
    <w:basedOn w:val="Carpredefinitoparagrafo"/>
    <w:link w:val="Citazione"/>
    <w:uiPriority w:val="99"/>
    <w:rPr>
      <w:rFonts w:cs="Times New Roman"/>
      <w:i/>
      <w:color w:val="000000"/>
      <w:sz w:val="24"/>
    </w:rPr>
  </w:style>
  <w:style w:type="character" w:customStyle="1" w:styleId="Hps">
    <w:name w:val="Hps"/>
    <w:basedOn w:val="Carpredefinitoparagrafo"/>
    <w:uiPriority w:val="99"/>
    <w:rPr>
      <w:rFonts w:cs="Times New Roman"/>
    </w:rPr>
  </w:style>
  <w:style w:type="character" w:customStyle="1" w:styleId="Shorttext">
    <w:name w:val="Short_text"/>
    <w:uiPriority w:val="99"/>
  </w:style>
  <w:style w:type="character" w:customStyle="1" w:styleId="Rimandonotadichiusura1">
    <w:name w:val="Rimando nota di chiusura1"/>
    <w:uiPriority w:val="99"/>
    <w:rPr>
      <w:vertAlign w:val="superscript"/>
    </w:rPr>
  </w:style>
  <w:style w:type="character" w:customStyle="1" w:styleId="Titolo1Carattere1">
    <w:name w:val="Titolo 1 Carattere1"/>
    <w:basedOn w:val="Carpredefinitoparagrafo"/>
    <w:link w:val="Titolo1"/>
    <w:uiPriority w:val="9"/>
    <w:rPr>
      <w:rFonts w:asciiTheme="majorHAnsi" w:eastAsiaTheme="majorEastAsia" w:hAnsiTheme="majorHAnsi" w:cstheme="majorBidi"/>
      <w:b/>
      <w:color w:val="365F91" w:themeColor="accent1" w:themeShade="BF"/>
      <w:sz w:val="28"/>
    </w:rPr>
  </w:style>
  <w:style w:type="character" w:customStyle="1" w:styleId="PlainTextChar">
    <w:name w:val="Plain Text Char"/>
    <w:basedOn w:val="Carpredefinitoparagrafo"/>
    <w:link w:val="Testonormale1"/>
    <w:uiPriority w:val="99"/>
    <w:semiHidden/>
    <w:rPr>
      <w:rFonts w:ascii="Courier New" w:hAnsi="Courier New" w:cs="Courier New"/>
      <w:sz w:val="21"/>
    </w:rPr>
  </w:style>
  <w:style w:type="character" w:styleId="Rimandonotadichiusura">
    <w:name w:val="endnote reference"/>
    <w:basedOn w:val="Carpredefinitoparagrafo"/>
    <w:uiPriority w:val="99"/>
    <w:semiHidden/>
    <w:unhideWhenUsed/>
    <w:rPr>
      <w:vertAlign w:val="superscript"/>
    </w:rPr>
  </w:style>
  <w:style w:type="character" w:customStyle="1" w:styleId="Titolo3Carattere">
    <w:name w:val="Titolo 3 Carattere"/>
    <w:basedOn w:val="Carpredefinitoparagrafo"/>
    <w:uiPriority w:val="99"/>
    <w:rPr>
      <w:rFonts w:cs="Times New Roman"/>
      <w:b/>
      <w:sz w:val="27"/>
    </w:rPr>
  </w:style>
  <w:style w:type="character" w:styleId="Enfasidelicata">
    <w:name w:val="Subtle Emphasis"/>
    <w:basedOn w:val="Carpredefinitoparagrafo"/>
    <w:uiPriority w:val="19"/>
    <w:qFormat/>
    <w:rPr>
      <w:i/>
      <w:color w:val="808080" w:themeColor="text1" w:themeTint="7F"/>
    </w:rPr>
  </w:style>
  <w:style w:type="table" w:customStyle="1" w:styleId="Tabellanormale1">
    <w:name w:val="Tabella normale1"/>
    <w:uiPriority w:val="99"/>
    <w:semiHidden/>
    <w:rPr>
      <w:sz w:val="24"/>
    </w:rPr>
    <w:tblPr>
      <w:tblCellMar>
        <w:top w:w="0" w:type="dxa"/>
        <w:left w:w="108" w:type="dxa"/>
        <w:bottom w:w="0" w:type="dxa"/>
        <w:right w:w="108" w:type="dxa"/>
      </w:tblCellMar>
    </w:tblPr>
  </w:style>
  <w:style w:type="character" w:customStyle="1" w:styleId="SottotitoloCarattere">
    <w:name w:val="Sottotitolo Carattere"/>
    <w:basedOn w:val="Carpredefinitoparagrafo"/>
    <w:link w:val="Sottotitolo"/>
    <w:uiPriority w:val="99"/>
    <w:rPr>
      <w:rFonts w:ascii="Times New Roman" w:hAnsi="Times New Roman" w:cs="Times New Roman"/>
      <w:i/>
      <w:color w:val="4F81BD"/>
      <w:spacing w:val="15"/>
      <w:sz w:val="24"/>
    </w:rPr>
  </w:style>
  <w:style w:type="paragraph" w:styleId="Testonotaapidipagina">
    <w:name w:val="footnote text"/>
    <w:basedOn w:val="Normale"/>
    <w:link w:val="TestonotaapidipaginaCarattere2"/>
    <w:uiPriority w:val="99"/>
    <w:semiHidden/>
    <w:unhideWhenUsed/>
    <w:rPr>
      <w:sz w:val="20"/>
    </w:rPr>
  </w:style>
  <w:style w:type="paragraph" w:customStyle="1" w:styleId="Testonormale1">
    <w:name w:val="Testo normale1"/>
    <w:link w:val="PlainTextChar"/>
    <w:uiPriority w:val="99"/>
    <w:semiHidden/>
    <w:rPr>
      <w:rFonts w:ascii="Courier New" w:hAnsi="Courier New" w:cs="Courier New"/>
      <w:sz w:val="21"/>
    </w:rPr>
  </w:style>
  <w:style w:type="paragraph" w:styleId="Paragrafoelenco">
    <w:name w:val="List Paragraph"/>
    <w:basedOn w:val="Normale"/>
    <w:uiPriority w:val="34"/>
    <w:qFormat/>
    <w:pPr>
      <w:ind w:left="720"/>
      <w:contextualSpacing/>
    </w:pPr>
  </w:style>
  <w:style w:type="character" w:customStyle="1" w:styleId="Titolo1Carattere">
    <w:name w:val="Titolo 1 Carattere"/>
    <w:basedOn w:val="Carpredefinitoparagrafo"/>
    <w:uiPriority w:val="99"/>
    <w:rPr>
      <w:rFonts w:cs="Times New Roman"/>
      <w:b/>
      <w:sz w:val="48"/>
    </w:rPr>
  </w:style>
  <w:style w:type="character" w:customStyle="1" w:styleId="Numeropagina1">
    <w:name w:val="Numero pagina1"/>
    <w:basedOn w:val="Carpredefinitoparagrafo"/>
    <w:uiPriority w:val="99"/>
    <w:rPr>
      <w:rFonts w:cs="Times New Roman"/>
    </w:rPr>
  </w:style>
  <w:style w:type="character" w:customStyle="1" w:styleId="EndnoteTextChar">
    <w:name w:val="Endnote Text Char"/>
    <w:basedOn w:val="Carpredefinitoparagrafo"/>
    <w:link w:val="Testonotadichiusura1"/>
    <w:uiPriority w:val="99"/>
    <w:semiHidden/>
    <w:rPr>
      <w:rFonts w:cs="Times New Roman"/>
      <w:sz w:val="20"/>
    </w:rPr>
  </w:style>
  <w:style w:type="character" w:customStyle="1" w:styleId="St">
    <w:name w:val="St"/>
    <w:basedOn w:val="Carpredefinitoparagrafo"/>
    <w:uiPriority w:val="99"/>
    <w:rPr>
      <w:rFonts w:cs="Times New Roman"/>
    </w:rPr>
  </w:style>
  <w:style w:type="character" w:customStyle="1" w:styleId="Titolo5Carattere">
    <w:name w:val="Titolo 5 Carattere"/>
    <w:basedOn w:val="Carpredefinitoparagrafo"/>
    <w:uiPriority w:val="99"/>
    <w:semiHidden/>
    <w:rPr>
      <w:rFonts w:cs="Times New Roman"/>
      <w:color w:val="243F60"/>
      <w:sz w:val="24"/>
    </w:rPr>
  </w:style>
  <w:style w:type="character" w:customStyle="1" w:styleId="Caratteredellanota">
    <w:name w:val="Carattere della nota"/>
    <w:uiPriority w:val="99"/>
    <w:rPr>
      <w:vertAlign w:val="superscript"/>
    </w:rPr>
  </w:style>
  <w:style w:type="character" w:customStyle="1" w:styleId="CitazioneintensaCarattere">
    <w:name w:val="Citazione intensa Carattere"/>
    <w:basedOn w:val="Carpredefinitoparagrafo"/>
    <w:uiPriority w:val="99"/>
    <w:rPr>
      <w:rFonts w:cs="Times New Roman"/>
      <w:b/>
      <w:i/>
      <w:color w:val="4F81BD"/>
    </w:rPr>
  </w:style>
  <w:style w:type="character" w:styleId="Riferimentointenso">
    <w:name w:val="Intense Reference"/>
    <w:basedOn w:val="Carpredefinitoparagrafo"/>
    <w:uiPriority w:val="32"/>
    <w:qFormat/>
    <w:rPr>
      <w:b/>
      <w:smallCaps/>
      <w:color w:val="C0504D" w:themeColor="accent2"/>
      <w:spacing w:val="5"/>
      <w:u w:val="single"/>
    </w:rPr>
  </w:style>
  <w:style w:type="character" w:customStyle="1" w:styleId="Atn">
    <w:name w:val="Atn"/>
    <w:uiPriority w:val="99"/>
  </w:style>
  <w:style w:type="paragraph" w:styleId="Testonotadichiusura">
    <w:name w:val="endnote text"/>
    <w:basedOn w:val="Normale"/>
    <w:uiPriority w:val="99"/>
    <w:semiHidden/>
    <w:unhideWhenUsed/>
    <w:rPr>
      <w:sz w:val="20"/>
    </w:rPr>
  </w:style>
  <w:style w:type="character" w:customStyle="1" w:styleId="Rimandonotaapidipagina2">
    <w:name w:val="Rimando nota a piè di pagina2"/>
    <w:uiPriority w:val="99"/>
    <w:rPr>
      <w:vertAlign w:val="superscript"/>
    </w:rPr>
  </w:style>
  <w:style w:type="character" w:customStyle="1" w:styleId="Rimandonotaapidipagina1">
    <w:name w:val="Rimando nota a piè di pagina1"/>
    <w:basedOn w:val="Carpredefinitoparagrafo"/>
    <w:uiPriority w:val="99"/>
    <w:semiHidden/>
    <w:rPr>
      <w:rFonts w:cs="Times New Roman"/>
      <w:vertAlign w:val="superscript"/>
    </w:rPr>
  </w:style>
  <w:style w:type="character" w:customStyle="1" w:styleId="TestonotaapidipaginaCarattere2">
    <w:name w:val="Testo nota a piè di pagina Carattere2"/>
    <w:basedOn w:val="Carpredefinitoparagrafo"/>
    <w:link w:val="Testonotaapidipagina"/>
    <w:uiPriority w:val="99"/>
    <w:semiHidden/>
    <w:rPr>
      <w:rFonts w:cs="Times New Roman"/>
      <w:sz w:val="20"/>
    </w:rPr>
  </w:style>
  <w:style w:type="character" w:customStyle="1" w:styleId="Rimandonotaapidipagina3">
    <w:name w:val="Rimando nota a piè di pagina3"/>
    <w:uiPriority w:val="99"/>
    <w:rPr>
      <w:vertAlign w:val="superscript"/>
    </w:rPr>
  </w:style>
  <w:style w:type="character" w:customStyle="1" w:styleId="Titolo6Carattere1">
    <w:name w:val="Titolo 6 Carattere1"/>
    <w:basedOn w:val="Carpredefinitoparagrafo"/>
    <w:link w:val="Titolo6"/>
    <w:uiPriority w:val="9"/>
    <w:rPr>
      <w:rFonts w:asciiTheme="majorHAnsi" w:eastAsiaTheme="majorEastAsia" w:hAnsiTheme="majorHAnsi" w:cstheme="majorBidi"/>
      <w:i/>
      <w:color w:val="243F60" w:themeColor="accent1" w:themeShade="7F"/>
    </w:rPr>
  </w:style>
  <w:style w:type="paragraph" w:styleId="Testonormale">
    <w:name w:val="Plain Text"/>
    <w:basedOn w:val="Normale"/>
    <w:uiPriority w:val="99"/>
    <w:semiHidden/>
    <w:unhideWhenUsed/>
    <w:rPr>
      <w:rFonts w:ascii="Courier New" w:hAnsi="Courier New" w:cs="Courier New"/>
      <w:sz w:val="21"/>
    </w:rPr>
  </w:style>
  <w:style w:type="character" w:customStyle="1" w:styleId="Titolo2Carattere">
    <w:name w:val="Titolo 2 Carattere"/>
    <w:basedOn w:val="Carpredefinitoparagrafo"/>
    <w:uiPriority w:val="99"/>
    <w:rPr>
      <w:rFonts w:cs="Times New Roman"/>
      <w:b/>
      <w:sz w:val="36"/>
    </w:rPr>
  </w:style>
  <w:style w:type="character" w:customStyle="1" w:styleId="Riferimentodelicato1">
    <w:name w:val="Riferimento delicato1"/>
    <w:basedOn w:val="Carpredefinitoparagrafo"/>
    <w:uiPriority w:val="99"/>
    <w:rPr>
      <w:rFonts w:cs="Times New Roman"/>
      <w:smallCaps/>
      <w:color w:val="C0504D"/>
      <w:u w:val="single"/>
    </w:rPr>
  </w:style>
  <w:style w:type="character" w:customStyle="1" w:styleId="TestonotaapidipaginaCarattere">
    <w:name w:val="Testo nota a piè di pagina Carattere"/>
    <w:link w:val="Testonotaapidipagina1"/>
    <w:uiPriority w:val="99"/>
    <w:rPr>
      <w:sz w:val="24"/>
    </w:rPr>
  </w:style>
  <w:style w:type="character" w:customStyle="1" w:styleId="Titolo6Carattere">
    <w:name w:val="Titolo 6 Carattere"/>
    <w:basedOn w:val="Carpredefinitoparagrafo"/>
    <w:uiPriority w:val="99"/>
    <w:semiHidden/>
    <w:rPr>
      <w:rFonts w:cs="Times New Roman"/>
      <w:i/>
      <w:color w:val="243F60"/>
      <w:sz w:val="24"/>
    </w:rPr>
  </w:style>
  <w:style w:type="character" w:customStyle="1" w:styleId="Apple-converted-space">
    <w:name w:val="Apple-converted-space"/>
    <w:basedOn w:val="Carpredefinitoparagrafo"/>
    <w:uiPriority w:val="99"/>
    <w:rPr>
      <w:rFonts w:cs="Times New Roman"/>
    </w:rPr>
  </w:style>
  <w:style w:type="character" w:styleId="Enfasiintensa">
    <w:name w:val="Intense Emphasis"/>
    <w:basedOn w:val="Carpredefinitoparagrafo"/>
    <w:uiPriority w:val="21"/>
    <w:qFormat/>
    <w:rPr>
      <w:b/>
      <w:i/>
      <w:color w:val="4F81BD" w:themeColor="accent1"/>
    </w:rPr>
  </w:style>
  <w:style w:type="paragraph" w:styleId="Nessunaspaziatura">
    <w:name w:val="No Spacing"/>
    <w:uiPriority w:val="99"/>
    <w:qFormat/>
    <w:rPr>
      <w:sz w:val="24"/>
    </w:rPr>
  </w:style>
  <w:style w:type="character" w:customStyle="1" w:styleId="Subtitle1">
    <w:name w:val="Subtitle1"/>
    <w:basedOn w:val="Carpredefinitoparagrafo"/>
    <w:uiPriority w:val="99"/>
    <w:rPr>
      <w:rFonts w:cs="Times New Roman"/>
    </w:rPr>
  </w:style>
  <w:style w:type="character" w:customStyle="1" w:styleId="TitleChar1">
    <w:name w:val="Title Char1"/>
    <w:basedOn w:val="Carpredefinitoparagrafo"/>
    <w:uiPriority w:val="10"/>
    <w:rPr>
      <w:rFonts w:asciiTheme="majorHAnsi" w:eastAsiaTheme="majorEastAsia" w:hAnsiTheme="majorHAnsi" w:cstheme="majorBidi"/>
      <w:b/>
      <w:sz w:val="32"/>
    </w:rPr>
  </w:style>
  <w:style w:type="paragraph" w:styleId="Sottotitolo">
    <w:name w:val="Subtitle"/>
    <w:basedOn w:val="Normale"/>
    <w:next w:val="Normale"/>
    <w:link w:val="SottotitoloCarattere"/>
    <w:uiPriority w:val="11"/>
    <w:qFormat/>
    <w:pPr>
      <w:numPr>
        <w:ilvl w:val="1"/>
      </w:numPr>
    </w:pPr>
    <w:rPr>
      <w:rFonts w:asciiTheme="majorHAnsi" w:eastAsiaTheme="majorEastAsia" w:hAnsiTheme="majorHAnsi" w:cstheme="majorBidi"/>
      <w:i/>
      <w:color w:val="4F81BD" w:themeColor="accent1"/>
      <w:spacing w:val="15"/>
    </w:rPr>
  </w:style>
  <w:style w:type="character" w:styleId="Collegamentoipertestuale">
    <w:name w:val="Hyperlink"/>
    <w:basedOn w:val="Carpredefinitoparagrafo"/>
    <w:uiPriority w:val="99"/>
    <w:rPr>
      <w:rFonts w:cs="Times New Roman"/>
      <w:color w:val="0000FF"/>
      <w:u w:val="single"/>
    </w:rPr>
  </w:style>
  <w:style w:type="character" w:customStyle="1" w:styleId="Titolo2Carattere1">
    <w:name w:val="Titolo 2 Carattere1"/>
    <w:basedOn w:val="Carpredefinitoparagrafo"/>
    <w:link w:val="Titolo2"/>
    <w:uiPriority w:val="9"/>
    <w:rPr>
      <w:rFonts w:asciiTheme="majorHAnsi" w:eastAsiaTheme="majorEastAsia" w:hAnsiTheme="majorHAnsi" w:cstheme="majorBidi"/>
      <w:b/>
      <w:color w:val="4F81BD" w:themeColor="accent1"/>
      <w:sz w:val="26"/>
    </w:rPr>
  </w:style>
  <w:style w:type="character" w:customStyle="1" w:styleId="TitoloCarattere1">
    <w:name w:val="Titolo Carattere1"/>
    <w:basedOn w:val="Carpredefinitoparagrafo"/>
    <w:link w:val="Titolo"/>
    <w:uiPriority w:val="10"/>
    <w:rPr>
      <w:rFonts w:asciiTheme="majorHAnsi" w:eastAsiaTheme="majorEastAsia" w:hAnsiTheme="majorHAnsi" w:cstheme="majorBidi"/>
      <w:color w:val="17365D" w:themeColor="text2" w:themeShade="BF"/>
      <w:spacing w:val="5"/>
      <w:sz w:val="52"/>
    </w:rPr>
  </w:style>
  <w:style w:type="paragraph" w:customStyle="1" w:styleId="Testonotadichiusura1">
    <w:name w:val="Testo nota di chiusura1"/>
    <w:basedOn w:val="Normale"/>
    <w:link w:val="EndnoteTextChar"/>
    <w:uiPriority w:val="99"/>
    <w:semiHidden/>
    <w:rPr>
      <w:sz w:val="20"/>
    </w:rPr>
  </w:style>
  <w:style w:type="character" w:customStyle="1" w:styleId="Zwartgr">
    <w:name w:val="Zwartgr"/>
    <w:basedOn w:val="Carpredefinitoparagrafo"/>
    <w:uiPriority w:val="99"/>
    <w:rPr>
      <w:rFonts w:cs="Times New Roman"/>
    </w:rPr>
  </w:style>
  <w:style w:type="character" w:customStyle="1" w:styleId="Titolo7Carattere1">
    <w:name w:val="Titolo 7 Carattere1"/>
    <w:basedOn w:val="Carpredefinitoparagrafo"/>
    <w:link w:val="Titolo7"/>
    <w:uiPriority w:val="9"/>
    <w:rPr>
      <w:rFonts w:asciiTheme="majorHAnsi" w:eastAsiaTheme="majorEastAsia" w:hAnsiTheme="majorHAnsi" w:cstheme="majorBidi"/>
      <w:i/>
      <w:color w:val="404040" w:themeColor="text1" w:themeTint="BF"/>
    </w:rPr>
  </w:style>
  <w:style w:type="character" w:customStyle="1" w:styleId="Riferimentointenso1">
    <w:name w:val="Riferimento intenso1"/>
    <w:basedOn w:val="Carpredefinitoparagrafo"/>
    <w:uiPriority w:val="99"/>
    <w:rPr>
      <w:rFonts w:cs="Times New Roman"/>
      <w:b/>
      <w:smallCaps/>
      <w:color w:val="C0504D"/>
      <w:spacing w:val="5"/>
      <w:u w:val="single"/>
    </w:rPr>
  </w:style>
  <w:style w:type="character" w:customStyle="1" w:styleId="Titolo9Carattere1">
    <w:name w:val="Titolo 9 Carattere1"/>
    <w:basedOn w:val="Carpredefinitoparagrafo"/>
    <w:link w:val="Titolo9"/>
    <w:uiPriority w:val="9"/>
    <w:rPr>
      <w:rFonts w:asciiTheme="majorHAnsi" w:eastAsiaTheme="majorEastAsia" w:hAnsiTheme="majorHAnsi" w:cstheme="majorBidi"/>
      <w:i/>
      <w:color w:val="404040" w:themeColor="text1" w:themeTint="BF"/>
      <w:sz w:val="20"/>
    </w:rPr>
  </w:style>
  <w:style w:type="paragraph" w:customStyle="1" w:styleId="Corpotesto1">
    <w:name w:val="Corpo testo1"/>
    <w:uiPriority w:val="99"/>
    <w:pPr>
      <w:spacing w:after="120"/>
    </w:pPr>
    <w:rPr>
      <w:sz w:val="24"/>
    </w:rPr>
  </w:style>
  <w:style w:type="character" w:customStyle="1" w:styleId="TestonotaapidipaginaCarattere1">
    <w:name w:val="Testo nota a piè di pagina Carattere1"/>
    <w:basedOn w:val="Carpredefinitoparagrafo"/>
    <w:uiPriority w:val="99"/>
    <w:semiHidden/>
    <w:rPr>
      <w:sz w:val="20"/>
    </w:rPr>
  </w:style>
  <w:style w:type="character" w:customStyle="1" w:styleId="Titolo9Carattere">
    <w:name w:val="Titolo 9 Carattere"/>
    <w:basedOn w:val="Carpredefinitoparagrafo"/>
    <w:uiPriority w:val="99"/>
    <w:semiHidden/>
    <w:rPr>
      <w:rFonts w:cs="Times New Roman"/>
      <w:i/>
      <w:color w:val="404040"/>
    </w:rPr>
  </w:style>
  <w:style w:type="character" w:customStyle="1" w:styleId="Titolo7Carattere">
    <w:name w:val="Titolo 7 Carattere"/>
    <w:basedOn w:val="Carpredefinitoparagrafo"/>
    <w:uiPriority w:val="99"/>
    <w:semiHidden/>
    <w:rPr>
      <w:rFonts w:cs="Times New Roman"/>
      <w:i/>
      <w:color w:val="404040"/>
      <w:sz w:val="24"/>
    </w:rPr>
  </w:style>
  <w:style w:type="character" w:customStyle="1" w:styleId="Titolo8Carattere1">
    <w:name w:val="Titolo 8 Carattere1"/>
    <w:basedOn w:val="Carpredefinitoparagrafo"/>
    <w:link w:val="Titolo8"/>
    <w:uiPriority w:val="9"/>
    <w:rPr>
      <w:rFonts w:asciiTheme="majorHAnsi" w:eastAsiaTheme="majorEastAsia" w:hAnsiTheme="majorHAnsi" w:cstheme="majorBidi"/>
      <w:color w:val="404040" w:themeColor="text1" w:themeTint="BF"/>
      <w:sz w:val="20"/>
    </w:rPr>
  </w:style>
  <w:style w:type="character" w:customStyle="1" w:styleId="TestonotadichiusuraCarattere">
    <w:name w:val="Testo nota di chiusura Carattere"/>
    <w:basedOn w:val="Carpredefinitoparagrafo"/>
    <w:uiPriority w:val="99"/>
    <w:rPr>
      <w:rFonts w:cs="Times New Roman"/>
    </w:rPr>
  </w:style>
  <w:style w:type="paragraph" w:styleId="Titolo">
    <w:name w:val="Title"/>
    <w:basedOn w:val="Normale"/>
    <w:next w:val="Normale"/>
    <w:link w:val="TitoloCarattere1"/>
    <w:uiPriority w:val="10"/>
    <w:qFormat/>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rPr>
  </w:style>
  <w:style w:type="character" w:customStyle="1" w:styleId="QuoteChar">
    <w:name w:val="Quote Char"/>
    <w:basedOn w:val="Carpredefinitoparagrafo"/>
    <w:uiPriority w:val="29"/>
    <w:rPr>
      <w:i/>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99"/>
    <w:qFormat/>
    <w:rPr>
      <w:sz w:val="24"/>
    </w:rPr>
  </w:style>
  <w:style w:type="paragraph" w:styleId="Titolo1">
    <w:name w:val="heading 1"/>
    <w:basedOn w:val="Normale"/>
    <w:next w:val="Normale"/>
    <w:link w:val="Titolo1Carattere1"/>
    <w:uiPriority w:val="9"/>
    <w:qFormat/>
    <w:pPr>
      <w:keepNext/>
      <w:keepLines/>
      <w:spacing w:before="480"/>
      <w:outlineLvl w:val="0"/>
    </w:pPr>
    <w:rPr>
      <w:rFonts w:asciiTheme="majorHAnsi" w:eastAsiaTheme="majorEastAsia" w:hAnsiTheme="majorHAnsi" w:cstheme="majorBidi"/>
      <w:b/>
      <w:color w:val="365F91" w:themeColor="accent1" w:themeShade="BF"/>
      <w:sz w:val="28"/>
    </w:rPr>
  </w:style>
  <w:style w:type="paragraph" w:styleId="Titolo2">
    <w:name w:val="heading 2"/>
    <w:basedOn w:val="Normale"/>
    <w:next w:val="Normale"/>
    <w:link w:val="Titolo2Carattere1"/>
    <w:uiPriority w:val="9"/>
    <w:semiHidden/>
    <w:unhideWhenUsed/>
    <w:qFormat/>
    <w:pPr>
      <w:keepNext/>
      <w:keepLines/>
      <w:spacing w:before="200"/>
      <w:outlineLvl w:val="1"/>
    </w:pPr>
    <w:rPr>
      <w:rFonts w:asciiTheme="majorHAnsi" w:eastAsiaTheme="majorEastAsia" w:hAnsiTheme="majorHAnsi" w:cstheme="majorBidi"/>
      <w:b/>
      <w:color w:val="4F81BD" w:themeColor="accent1"/>
      <w:sz w:val="26"/>
    </w:rPr>
  </w:style>
  <w:style w:type="paragraph" w:styleId="Titolo3">
    <w:name w:val="heading 3"/>
    <w:basedOn w:val="Normale"/>
    <w:next w:val="Normale"/>
    <w:link w:val="Titolo3Carattere1"/>
    <w:uiPriority w:val="9"/>
    <w:semiHidden/>
    <w:unhideWhenUsed/>
    <w:qFormat/>
    <w:pPr>
      <w:keepNext/>
      <w:keepLines/>
      <w:spacing w:before="200"/>
      <w:outlineLvl w:val="2"/>
    </w:pPr>
    <w:rPr>
      <w:rFonts w:asciiTheme="majorHAnsi" w:eastAsiaTheme="majorEastAsia" w:hAnsiTheme="majorHAnsi" w:cstheme="majorBidi"/>
      <w:b/>
      <w:color w:val="4F81BD" w:themeColor="accent1"/>
    </w:rPr>
  </w:style>
  <w:style w:type="paragraph" w:styleId="Titolo4">
    <w:name w:val="heading 4"/>
    <w:basedOn w:val="Normale"/>
    <w:next w:val="Normale"/>
    <w:link w:val="Titolo4Carattere"/>
    <w:uiPriority w:val="9"/>
    <w:semiHidden/>
    <w:unhideWhenUsed/>
    <w:qFormat/>
    <w:pPr>
      <w:keepNext/>
      <w:keepLines/>
      <w:spacing w:before="200"/>
      <w:outlineLvl w:val="3"/>
    </w:pPr>
    <w:rPr>
      <w:rFonts w:asciiTheme="majorHAnsi" w:eastAsiaTheme="majorEastAsia" w:hAnsiTheme="majorHAnsi" w:cstheme="majorBidi"/>
      <w:b/>
      <w:i/>
      <w:color w:val="4F81BD" w:themeColor="accent1"/>
    </w:rPr>
  </w:style>
  <w:style w:type="paragraph" w:styleId="Titolo5">
    <w:name w:val="heading 5"/>
    <w:basedOn w:val="Normale"/>
    <w:next w:val="Normale"/>
    <w:link w:val="Titolo5Carattere1"/>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1"/>
    <w:uiPriority w:val="9"/>
    <w:semiHidden/>
    <w:unhideWhenUsed/>
    <w:qFormat/>
    <w:pPr>
      <w:keepNext/>
      <w:keepLines/>
      <w:spacing w:before="200"/>
      <w:outlineLvl w:val="5"/>
    </w:pPr>
    <w:rPr>
      <w:rFonts w:asciiTheme="majorHAnsi" w:eastAsiaTheme="majorEastAsia" w:hAnsiTheme="majorHAnsi" w:cstheme="majorBidi"/>
      <w:i/>
      <w:color w:val="243F60" w:themeColor="accent1" w:themeShade="7F"/>
    </w:rPr>
  </w:style>
  <w:style w:type="paragraph" w:styleId="Titolo7">
    <w:name w:val="heading 7"/>
    <w:basedOn w:val="Normale"/>
    <w:next w:val="Normale"/>
    <w:link w:val="Titolo7Carattere1"/>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Titolo8">
    <w:name w:val="heading 8"/>
    <w:basedOn w:val="Normale"/>
    <w:next w:val="Normale"/>
    <w:link w:val="Titolo8Carattere1"/>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Titolo9">
    <w:name w:val="heading 9"/>
    <w:basedOn w:val="Normale"/>
    <w:next w:val="Normale"/>
    <w:link w:val="Titolo9Carattere1"/>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semiHidden/>
    <w:rPr>
      <w:sz w:val="24"/>
    </w:rPr>
  </w:style>
  <w:style w:type="paragraph" w:customStyle="1" w:styleId="Paragrafoelenco1">
    <w:name w:val="Paragrafo elenco1"/>
    <w:uiPriority w:val="99"/>
    <w:pPr>
      <w:ind w:left="720"/>
    </w:pPr>
    <w:rPr>
      <w:sz w:val="24"/>
    </w:rPr>
  </w:style>
  <w:style w:type="character" w:styleId="Rimandonotaapidipagina">
    <w:name w:val="footnote reference"/>
    <w:basedOn w:val="Carpredefinitoparagrafo"/>
    <w:uiPriority w:val="99"/>
    <w:semiHidden/>
    <w:unhideWhenUsed/>
    <w:rPr>
      <w:vertAlign w:val="superscript"/>
    </w:rPr>
  </w:style>
  <w:style w:type="character" w:customStyle="1" w:styleId="TitoloCarattere">
    <w:name w:val="Titolo Carattere"/>
    <w:basedOn w:val="Carpredefinitoparagrafo"/>
    <w:uiPriority w:val="99"/>
    <w:rPr>
      <w:rFonts w:cs="Times New Roman"/>
      <w:color w:val="17365D"/>
      <w:spacing w:val="5"/>
      <w:sz w:val="52"/>
    </w:rPr>
  </w:style>
  <w:style w:type="character" w:styleId="Enfasigrassetto">
    <w:name w:val="Strong"/>
    <w:basedOn w:val="Carpredefinitoparagrafo"/>
    <w:uiPriority w:val="22"/>
    <w:qFormat/>
    <w:rPr>
      <w:b/>
    </w:rPr>
  </w:style>
  <w:style w:type="paragraph" w:customStyle="1" w:styleId="Puntoelenco1">
    <w:name w:val="Punto elenco1"/>
    <w:uiPriority w:val="99"/>
    <w:pPr>
      <w:numPr>
        <w:numId w:val="2"/>
      </w:numPr>
    </w:pPr>
    <w:rPr>
      <w:rFonts w:cs="Calibri"/>
      <w:sz w:val="20"/>
    </w:rPr>
  </w:style>
  <w:style w:type="character" w:customStyle="1" w:styleId="Heading4Char">
    <w:name w:val="Heading 4 Char"/>
    <w:basedOn w:val="Carpredefinitoparagrafo"/>
    <w:uiPriority w:val="9"/>
    <w:rPr>
      <w:rFonts w:asciiTheme="majorHAnsi" w:eastAsiaTheme="majorEastAsia" w:hAnsiTheme="majorHAnsi" w:cstheme="majorBidi"/>
      <w:b/>
      <w:i/>
      <w:color w:val="4F81BD" w:themeColor="accent1"/>
    </w:rPr>
  </w:style>
  <w:style w:type="paragraph" w:styleId="Pidipagina">
    <w:name w:val="footer"/>
    <w:basedOn w:val="Normale"/>
    <w:link w:val="PidipaginaCarattere"/>
    <w:uiPriority w:val="99"/>
    <w:pPr>
      <w:tabs>
        <w:tab w:val="center" w:pos="4819"/>
        <w:tab w:val="right" w:pos="9638"/>
      </w:tabs>
    </w:pPr>
  </w:style>
  <w:style w:type="paragraph" w:styleId="Citazioneintensa">
    <w:name w:val="Intense Quote"/>
    <w:basedOn w:val="Normale"/>
    <w:next w:val="Normale"/>
    <w:link w:val="CitazioneintensaCarattere1"/>
    <w:uiPriority w:val="30"/>
    <w:qFormat/>
    <w:pPr>
      <w:pBdr>
        <w:bottom w:val="single" w:sz="4" w:space="0" w:color="4F81BD" w:themeColor="accent1"/>
      </w:pBdr>
      <w:spacing w:before="200" w:after="280"/>
      <w:ind w:left="936" w:right="936"/>
    </w:pPr>
    <w:rPr>
      <w:b/>
      <w:i/>
      <w:color w:val="4F81BD" w:themeColor="accent1"/>
    </w:rPr>
  </w:style>
  <w:style w:type="character" w:customStyle="1" w:styleId="Longtext">
    <w:name w:val="Long_text"/>
    <w:basedOn w:val="Carpredefinitoparagrafo"/>
    <w:uiPriority w:val="99"/>
    <w:rPr>
      <w:rFonts w:cs="Times New Roman"/>
    </w:rPr>
  </w:style>
  <w:style w:type="character" w:styleId="Enfasicorsivo">
    <w:name w:val="Emphasis"/>
    <w:basedOn w:val="Carpredefinitoparagrafo"/>
    <w:uiPriority w:val="20"/>
    <w:qFormat/>
    <w:rPr>
      <w:i/>
    </w:rPr>
  </w:style>
  <w:style w:type="character" w:styleId="Titolodellibro">
    <w:name w:val="Book Title"/>
    <w:basedOn w:val="Carpredefinitoparagrafo"/>
    <w:uiPriority w:val="33"/>
    <w:qFormat/>
    <w:rPr>
      <w:b/>
      <w:smallCaps/>
      <w:spacing w:val="5"/>
    </w:rPr>
  </w:style>
  <w:style w:type="character" w:customStyle="1" w:styleId="Titolo8Carattere">
    <w:name w:val="Titolo 8 Carattere"/>
    <w:basedOn w:val="Carpredefinitoparagrafo"/>
    <w:uiPriority w:val="99"/>
    <w:semiHidden/>
    <w:rPr>
      <w:rFonts w:cs="Times New Roman"/>
      <w:color w:val="404040"/>
    </w:rPr>
  </w:style>
  <w:style w:type="character" w:customStyle="1" w:styleId="Titolo4Carattere">
    <w:name w:val="Titolo 4 Carattere"/>
    <w:basedOn w:val="Carpredefinitoparagrafo"/>
    <w:link w:val="Titolo4"/>
    <w:uiPriority w:val="99"/>
    <w:semiHidden/>
    <w:rPr>
      <w:rFonts w:cs="Times New Roman"/>
      <w:b/>
      <w:i/>
      <w:color w:val="4F81BD"/>
      <w:sz w:val="24"/>
    </w:rPr>
  </w:style>
  <w:style w:type="paragraph" w:styleId="Citazione">
    <w:name w:val="Quote"/>
    <w:basedOn w:val="Normale"/>
    <w:link w:val="CitazioneCarattere"/>
    <w:uiPriority w:val="99"/>
    <w:qFormat/>
    <w:rPr>
      <w:i/>
      <w:color w:val="000000"/>
    </w:rPr>
  </w:style>
  <w:style w:type="character" w:customStyle="1" w:styleId="Enfasiintensa1">
    <w:name w:val="Enfasi intensa1"/>
    <w:basedOn w:val="Carpredefinitoparagrafo"/>
    <w:uiPriority w:val="99"/>
    <w:rPr>
      <w:rFonts w:cs="Times New Roman"/>
      <w:b/>
      <w:i/>
      <w:color w:val="4F81BD"/>
    </w:rPr>
  </w:style>
  <w:style w:type="character" w:styleId="Riferimentodelicato">
    <w:name w:val="Subtle Reference"/>
    <w:basedOn w:val="Carpredefinitoparagrafo"/>
    <w:uiPriority w:val="31"/>
    <w:qFormat/>
    <w:rPr>
      <w:smallCaps/>
      <w:color w:val="C0504D" w:themeColor="accent2"/>
      <w:u w:val="single"/>
    </w:rPr>
  </w:style>
  <w:style w:type="character" w:customStyle="1" w:styleId="Donkergrijsgrb">
    <w:name w:val="Donkergrijsgrb"/>
    <w:basedOn w:val="Carpredefinitoparagrafo"/>
    <w:uiPriority w:val="99"/>
    <w:rPr>
      <w:rFonts w:cs="Times New Roman"/>
    </w:rPr>
  </w:style>
  <w:style w:type="character" w:customStyle="1" w:styleId="CitazioneintensaCarattere1">
    <w:name w:val="Citazione intensa Carattere1"/>
    <w:basedOn w:val="Carpredefinitoparagrafo"/>
    <w:link w:val="Citazioneintensa"/>
    <w:uiPriority w:val="30"/>
    <w:rPr>
      <w:b/>
      <w:i/>
      <w:color w:val="4F81BD" w:themeColor="accent1"/>
    </w:rPr>
  </w:style>
  <w:style w:type="paragraph" w:customStyle="1" w:styleId="Testonotaapidipagina1">
    <w:name w:val="Testo nota a piè di pagina1"/>
    <w:link w:val="TestonotaapidipaginaCarattere"/>
    <w:uiPriority w:val="99"/>
    <w:rPr>
      <w:rFonts w:cs="Calibri"/>
      <w:sz w:val="24"/>
    </w:rPr>
  </w:style>
  <w:style w:type="character" w:customStyle="1" w:styleId="Titolo3Carattere1">
    <w:name w:val="Titolo 3 Carattere1"/>
    <w:basedOn w:val="Carpredefinitoparagrafo"/>
    <w:link w:val="Titolo3"/>
    <w:uiPriority w:val="9"/>
    <w:rPr>
      <w:rFonts w:asciiTheme="majorHAnsi" w:eastAsiaTheme="majorEastAsia" w:hAnsiTheme="majorHAnsi" w:cstheme="majorBidi"/>
      <w:b/>
      <w:color w:val="4F81BD" w:themeColor="accent1"/>
    </w:rPr>
  </w:style>
  <w:style w:type="character" w:customStyle="1" w:styleId="Titolo5Carattere1">
    <w:name w:val="Titolo 5 Carattere1"/>
    <w:basedOn w:val="Carpredefinitoparagrafo"/>
    <w:link w:val="Titolo5"/>
    <w:uiPriority w:val="9"/>
    <w:rPr>
      <w:rFonts w:asciiTheme="majorHAnsi" w:eastAsiaTheme="majorEastAsia" w:hAnsiTheme="majorHAnsi" w:cstheme="majorBidi"/>
      <w:color w:val="243F60" w:themeColor="accent1" w:themeShade="7F"/>
    </w:rPr>
  </w:style>
  <w:style w:type="character" w:customStyle="1" w:styleId="CitazioneCarattere">
    <w:name w:val="Citazione Carattere"/>
    <w:basedOn w:val="Carpredefinitoparagrafo"/>
    <w:link w:val="Citazione"/>
    <w:uiPriority w:val="99"/>
    <w:rPr>
      <w:rFonts w:cs="Times New Roman"/>
      <w:i/>
      <w:color w:val="000000"/>
      <w:sz w:val="24"/>
    </w:rPr>
  </w:style>
  <w:style w:type="character" w:customStyle="1" w:styleId="Hps">
    <w:name w:val="Hps"/>
    <w:basedOn w:val="Carpredefinitoparagrafo"/>
    <w:uiPriority w:val="99"/>
    <w:rPr>
      <w:rFonts w:cs="Times New Roman"/>
    </w:rPr>
  </w:style>
  <w:style w:type="character" w:customStyle="1" w:styleId="Shorttext">
    <w:name w:val="Short_text"/>
    <w:uiPriority w:val="99"/>
  </w:style>
  <w:style w:type="character" w:customStyle="1" w:styleId="Rimandonotadichiusura1">
    <w:name w:val="Rimando nota di chiusura1"/>
    <w:uiPriority w:val="99"/>
    <w:rPr>
      <w:vertAlign w:val="superscript"/>
    </w:rPr>
  </w:style>
  <w:style w:type="character" w:customStyle="1" w:styleId="Titolo1Carattere1">
    <w:name w:val="Titolo 1 Carattere1"/>
    <w:basedOn w:val="Carpredefinitoparagrafo"/>
    <w:link w:val="Titolo1"/>
    <w:uiPriority w:val="9"/>
    <w:rPr>
      <w:rFonts w:asciiTheme="majorHAnsi" w:eastAsiaTheme="majorEastAsia" w:hAnsiTheme="majorHAnsi" w:cstheme="majorBidi"/>
      <w:b/>
      <w:color w:val="365F91" w:themeColor="accent1" w:themeShade="BF"/>
      <w:sz w:val="28"/>
    </w:rPr>
  </w:style>
  <w:style w:type="character" w:customStyle="1" w:styleId="PlainTextChar">
    <w:name w:val="Plain Text Char"/>
    <w:basedOn w:val="Carpredefinitoparagrafo"/>
    <w:link w:val="Testonormale1"/>
    <w:uiPriority w:val="99"/>
    <w:semiHidden/>
    <w:rPr>
      <w:rFonts w:ascii="Courier New" w:hAnsi="Courier New" w:cs="Courier New"/>
      <w:sz w:val="21"/>
    </w:rPr>
  </w:style>
  <w:style w:type="character" w:styleId="Rimandonotadichiusura">
    <w:name w:val="endnote reference"/>
    <w:basedOn w:val="Carpredefinitoparagrafo"/>
    <w:uiPriority w:val="99"/>
    <w:semiHidden/>
    <w:unhideWhenUsed/>
    <w:rPr>
      <w:vertAlign w:val="superscript"/>
    </w:rPr>
  </w:style>
  <w:style w:type="character" w:customStyle="1" w:styleId="Titolo3Carattere">
    <w:name w:val="Titolo 3 Carattere"/>
    <w:basedOn w:val="Carpredefinitoparagrafo"/>
    <w:uiPriority w:val="99"/>
    <w:rPr>
      <w:rFonts w:cs="Times New Roman"/>
      <w:b/>
      <w:sz w:val="27"/>
    </w:rPr>
  </w:style>
  <w:style w:type="character" w:styleId="Enfasidelicata">
    <w:name w:val="Subtle Emphasis"/>
    <w:basedOn w:val="Carpredefinitoparagrafo"/>
    <w:uiPriority w:val="19"/>
    <w:qFormat/>
    <w:rPr>
      <w:i/>
      <w:color w:val="808080" w:themeColor="text1" w:themeTint="7F"/>
    </w:rPr>
  </w:style>
  <w:style w:type="table" w:customStyle="1" w:styleId="Tabellanormale1">
    <w:name w:val="Tabella normale1"/>
    <w:uiPriority w:val="99"/>
    <w:semiHidden/>
    <w:rPr>
      <w:sz w:val="24"/>
    </w:rPr>
    <w:tblPr>
      <w:tblCellMar>
        <w:top w:w="0" w:type="dxa"/>
        <w:left w:w="108" w:type="dxa"/>
        <w:bottom w:w="0" w:type="dxa"/>
        <w:right w:w="108" w:type="dxa"/>
      </w:tblCellMar>
    </w:tblPr>
  </w:style>
  <w:style w:type="character" w:customStyle="1" w:styleId="SottotitoloCarattere">
    <w:name w:val="Sottotitolo Carattere"/>
    <w:basedOn w:val="Carpredefinitoparagrafo"/>
    <w:link w:val="Sottotitolo"/>
    <w:uiPriority w:val="99"/>
    <w:rPr>
      <w:rFonts w:ascii="Times New Roman" w:hAnsi="Times New Roman" w:cs="Times New Roman"/>
      <w:i/>
      <w:color w:val="4F81BD"/>
      <w:spacing w:val="15"/>
      <w:sz w:val="24"/>
    </w:rPr>
  </w:style>
  <w:style w:type="paragraph" w:styleId="Testonotaapidipagina">
    <w:name w:val="footnote text"/>
    <w:basedOn w:val="Normale"/>
    <w:link w:val="TestonotaapidipaginaCarattere2"/>
    <w:uiPriority w:val="99"/>
    <w:semiHidden/>
    <w:unhideWhenUsed/>
    <w:rPr>
      <w:sz w:val="20"/>
    </w:rPr>
  </w:style>
  <w:style w:type="paragraph" w:customStyle="1" w:styleId="Testonormale1">
    <w:name w:val="Testo normale1"/>
    <w:link w:val="PlainTextChar"/>
    <w:uiPriority w:val="99"/>
    <w:semiHidden/>
    <w:rPr>
      <w:rFonts w:ascii="Courier New" w:hAnsi="Courier New" w:cs="Courier New"/>
      <w:sz w:val="21"/>
    </w:rPr>
  </w:style>
  <w:style w:type="paragraph" w:styleId="Paragrafoelenco">
    <w:name w:val="List Paragraph"/>
    <w:basedOn w:val="Normale"/>
    <w:uiPriority w:val="34"/>
    <w:qFormat/>
    <w:pPr>
      <w:ind w:left="720"/>
      <w:contextualSpacing/>
    </w:pPr>
  </w:style>
  <w:style w:type="character" w:customStyle="1" w:styleId="Titolo1Carattere">
    <w:name w:val="Titolo 1 Carattere"/>
    <w:basedOn w:val="Carpredefinitoparagrafo"/>
    <w:uiPriority w:val="99"/>
    <w:rPr>
      <w:rFonts w:cs="Times New Roman"/>
      <w:b/>
      <w:sz w:val="48"/>
    </w:rPr>
  </w:style>
  <w:style w:type="character" w:customStyle="1" w:styleId="Numeropagina1">
    <w:name w:val="Numero pagina1"/>
    <w:basedOn w:val="Carpredefinitoparagrafo"/>
    <w:uiPriority w:val="99"/>
    <w:rPr>
      <w:rFonts w:cs="Times New Roman"/>
    </w:rPr>
  </w:style>
  <w:style w:type="character" w:customStyle="1" w:styleId="EndnoteTextChar">
    <w:name w:val="Endnote Text Char"/>
    <w:basedOn w:val="Carpredefinitoparagrafo"/>
    <w:link w:val="Testonotadichiusura1"/>
    <w:uiPriority w:val="99"/>
    <w:semiHidden/>
    <w:rPr>
      <w:rFonts w:cs="Times New Roman"/>
      <w:sz w:val="20"/>
    </w:rPr>
  </w:style>
  <w:style w:type="character" w:customStyle="1" w:styleId="St">
    <w:name w:val="St"/>
    <w:basedOn w:val="Carpredefinitoparagrafo"/>
    <w:uiPriority w:val="99"/>
    <w:rPr>
      <w:rFonts w:cs="Times New Roman"/>
    </w:rPr>
  </w:style>
  <w:style w:type="character" w:customStyle="1" w:styleId="Titolo5Carattere">
    <w:name w:val="Titolo 5 Carattere"/>
    <w:basedOn w:val="Carpredefinitoparagrafo"/>
    <w:uiPriority w:val="99"/>
    <w:semiHidden/>
    <w:rPr>
      <w:rFonts w:cs="Times New Roman"/>
      <w:color w:val="243F60"/>
      <w:sz w:val="24"/>
    </w:rPr>
  </w:style>
  <w:style w:type="character" w:customStyle="1" w:styleId="Caratteredellanota">
    <w:name w:val="Carattere della nota"/>
    <w:uiPriority w:val="99"/>
    <w:rPr>
      <w:vertAlign w:val="superscript"/>
    </w:rPr>
  </w:style>
  <w:style w:type="character" w:customStyle="1" w:styleId="CitazioneintensaCarattere">
    <w:name w:val="Citazione intensa Carattere"/>
    <w:basedOn w:val="Carpredefinitoparagrafo"/>
    <w:uiPriority w:val="99"/>
    <w:rPr>
      <w:rFonts w:cs="Times New Roman"/>
      <w:b/>
      <w:i/>
      <w:color w:val="4F81BD"/>
    </w:rPr>
  </w:style>
  <w:style w:type="character" w:styleId="Riferimentointenso">
    <w:name w:val="Intense Reference"/>
    <w:basedOn w:val="Carpredefinitoparagrafo"/>
    <w:uiPriority w:val="32"/>
    <w:qFormat/>
    <w:rPr>
      <w:b/>
      <w:smallCaps/>
      <w:color w:val="C0504D" w:themeColor="accent2"/>
      <w:spacing w:val="5"/>
      <w:u w:val="single"/>
    </w:rPr>
  </w:style>
  <w:style w:type="character" w:customStyle="1" w:styleId="Atn">
    <w:name w:val="Atn"/>
    <w:uiPriority w:val="99"/>
  </w:style>
  <w:style w:type="paragraph" w:styleId="Testonotadichiusura">
    <w:name w:val="endnote text"/>
    <w:basedOn w:val="Normale"/>
    <w:uiPriority w:val="99"/>
    <w:semiHidden/>
    <w:unhideWhenUsed/>
    <w:rPr>
      <w:sz w:val="20"/>
    </w:rPr>
  </w:style>
  <w:style w:type="character" w:customStyle="1" w:styleId="Rimandonotaapidipagina2">
    <w:name w:val="Rimando nota a piè di pagina2"/>
    <w:uiPriority w:val="99"/>
    <w:rPr>
      <w:vertAlign w:val="superscript"/>
    </w:rPr>
  </w:style>
  <w:style w:type="character" w:customStyle="1" w:styleId="Rimandonotaapidipagina1">
    <w:name w:val="Rimando nota a piè di pagina1"/>
    <w:basedOn w:val="Carpredefinitoparagrafo"/>
    <w:uiPriority w:val="99"/>
    <w:semiHidden/>
    <w:rPr>
      <w:rFonts w:cs="Times New Roman"/>
      <w:vertAlign w:val="superscript"/>
    </w:rPr>
  </w:style>
  <w:style w:type="character" w:customStyle="1" w:styleId="TestonotaapidipaginaCarattere2">
    <w:name w:val="Testo nota a piè di pagina Carattere2"/>
    <w:basedOn w:val="Carpredefinitoparagrafo"/>
    <w:link w:val="Testonotaapidipagina"/>
    <w:uiPriority w:val="99"/>
    <w:semiHidden/>
    <w:rPr>
      <w:rFonts w:cs="Times New Roman"/>
      <w:sz w:val="20"/>
    </w:rPr>
  </w:style>
  <w:style w:type="character" w:customStyle="1" w:styleId="Rimandonotaapidipagina3">
    <w:name w:val="Rimando nota a piè di pagina3"/>
    <w:uiPriority w:val="99"/>
    <w:rPr>
      <w:vertAlign w:val="superscript"/>
    </w:rPr>
  </w:style>
  <w:style w:type="character" w:customStyle="1" w:styleId="Titolo6Carattere1">
    <w:name w:val="Titolo 6 Carattere1"/>
    <w:basedOn w:val="Carpredefinitoparagrafo"/>
    <w:link w:val="Titolo6"/>
    <w:uiPriority w:val="9"/>
    <w:rPr>
      <w:rFonts w:asciiTheme="majorHAnsi" w:eastAsiaTheme="majorEastAsia" w:hAnsiTheme="majorHAnsi" w:cstheme="majorBidi"/>
      <w:i/>
      <w:color w:val="243F60" w:themeColor="accent1" w:themeShade="7F"/>
    </w:rPr>
  </w:style>
  <w:style w:type="paragraph" w:styleId="Testonormale">
    <w:name w:val="Plain Text"/>
    <w:basedOn w:val="Normale"/>
    <w:uiPriority w:val="99"/>
    <w:semiHidden/>
    <w:unhideWhenUsed/>
    <w:rPr>
      <w:rFonts w:ascii="Courier New" w:hAnsi="Courier New" w:cs="Courier New"/>
      <w:sz w:val="21"/>
    </w:rPr>
  </w:style>
  <w:style w:type="character" w:customStyle="1" w:styleId="Titolo2Carattere">
    <w:name w:val="Titolo 2 Carattere"/>
    <w:basedOn w:val="Carpredefinitoparagrafo"/>
    <w:uiPriority w:val="99"/>
    <w:rPr>
      <w:rFonts w:cs="Times New Roman"/>
      <w:b/>
      <w:sz w:val="36"/>
    </w:rPr>
  </w:style>
  <w:style w:type="character" w:customStyle="1" w:styleId="Riferimentodelicato1">
    <w:name w:val="Riferimento delicato1"/>
    <w:basedOn w:val="Carpredefinitoparagrafo"/>
    <w:uiPriority w:val="99"/>
    <w:rPr>
      <w:rFonts w:cs="Times New Roman"/>
      <w:smallCaps/>
      <w:color w:val="C0504D"/>
      <w:u w:val="single"/>
    </w:rPr>
  </w:style>
  <w:style w:type="character" w:customStyle="1" w:styleId="TestonotaapidipaginaCarattere">
    <w:name w:val="Testo nota a piè di pagina Carattere"/>
    <w:link w:val="Testonotaapidipagina1"/>
    <w:uiPriority w:val="99"/>
    <w:rPr>
      <w:sz w:val="24"/>
    </w:rPr>
  </w:style>
  <w:style w:type="character" w:customStyle="1" w:styleId="Titolo6Carattere">
    <w:name w:val="Titolo 6 Carattere"/>
    <w:basedOn w:val="Carpredefinitoparagrafo"/>
    <w:uiPriority w:val="99"/>
    <w:semiHidden/>
    <w:rPr>
      <w:rFonts w:cs="Times New Roman"/>
      <w:i/>
      <w:color w:val="243F60"/>
      <w:sz w:val="24"/>
    </w:rPr>
  </w:style>
  <w:style w:type="character" w:customStyle="1" w:styleId="Apple-converted-space">
    <w:name w:val="Apple-converted-space"/>
    <w:basedOn w:val="Carpredefinitoparagrafo"/>
    <w:uiPriority w:val="99"/>
    <w:rPr>
      <w:rFonts w:cs="Times New Roman"/>
    </w:rPr>
  </w:style>
  <w:style w:type="character" w:styleId="Enfasiintensa">
    <w:name w:val="Intense Emphasis"/>
    <w:basedOn w:val="Carpredefinitoparagrafo"/>
    <w:uiPriority w:val="21"/>
    <w:qFormat/>
    <w:rPr>
      <w:b/>
      <w:i/>
      <w:color w:val="4F81BD" w:themeColor="accent1"/>
    </w:rPr>
  </w:style>
  <w:style w:type="paragraph" w:styleId="Nessunaspaziatura">
    <w:name w:val="No Spacing"/>
    <w:uiPriority w:val="99"/>
    <w:qFormat/>
    <w:rPr>
      <w:sz w:val="24"/>
    </w:rPr>
  </w:style>
  <w:style w:type="character" w:customStyle="1" w:styleId="Subtitle1">
    <w:name w:val="Subtitle1"/>
    <w:basedOn w:val="Carpredefinitoparagrafo"/>
    <w:uiPriority w:val="99"/>
    <w:rPr>
      <w:rFonts w:cs="Times New Roman"/>
    </w:rPr>
  </w:style>
  <w:style w:type="character" w:customStyle="1" w:styleId="TitleChar1">
    <w:name w:val="Title Char1"/>
    <w:basedOn w:val="Carpredefinitoparagrafo"/>
    <w:uiPriority w:val="10"/>
    <w:rPr>
      <w:rFonts w:asciiTheme="majorHAnsi" w:eastAsiaTheme="majorEastAsia" w:hAnsiTheme="majorHAnsi" w:cstheme="majorBidi"/>
      <w:b/>
      <w:sz w:val="32"/>
    </w:rPr>
  </w:style>
  <w:style w:type="paragraph" w:styleId="Sottotitolo">
    <w:name w:val="Subtitle"/>
    <w:basedOn w:val="Normale"/>
    <w:next w:val="Normale"/>
    <w:link w:val="SottotitoloCarattere"/>
    <w:uiPriority w:val="11"/>
    <w:qFormat/>
    <w:pPr>
      <w:numPr>
        <w:ilvl w:val="1"/>
      </w:numPr>
    </w:pPr>
    <w:rPr>
      <w:rFonts w:asciiTheme="majorHAnsi" w:eastAsiaTheme="majorEastAsia" w:hAnsiTheme="majorHAnsi" w:cstheme="majorBidi"/>
      <w:i/>
      <w:color w:val="4F81BD" w:themeColor="accent1"/>
      <w:spacing w:val="15"/>
    </w:rPr>
  </w:style>
  <w:style w:type="character" w:styleId="Collegamentoipertestuale">
    <w:name w:val="Hyperlink"/>
    <w:basedOn w:val="Carpredefinitoparagrafo"/>
    <w:uiPriority w:val="99"/>
    <w:rPr>
      <w:rFonts w:cs="Times New Roman"/>
      <w:color w:val="0000FF"/>
      <w:u w:val="single"/>
    </w:rPr>
  </w:style>
  <w:style w:type="character" w:customStyle="1" w:styleId="Titolo2Carattere1">
    <w:name w:val="Titolo 2 Carattere1"/>
    <w:basedOn w:val="Carpredefinitoparagrafo"/>
    <w:link w:val="Titolo2"/>
    <w:uiPriority w:val="9"/>
    <w:rPr>
      <w:rFonts w:asciiTheme="majorHAnsi" w:eastAsiaTheme="majorEastAsia" w:hAnsiTheme="majorHAnsi" w:cstheme="majorBidi"/>
      <w:b/>
      <w:color w:val="4F81BD" w:themeColor="accent1"/>
      <w:sz w:val="26"/>
    </w:rPr>
  </w:style>
  <w:style w:type="character" w:customStyle="1" w:styleId="TitoloCarattere1">
    <w:name w:val="Titolo Carattere1"/>
    <w:basedOn w:val="Carpredefinitoparagrafo"/>
    <w:link w:val="Titolo"/>
    <w:uiPriority w:val="10"/>
    <w:rPr>
      <w:rFonts w:asciiTheme="majorHAnsi" w:eastAsiaTheme="majorEastAsia" w:hAnsiTheme="majorHAnsi" w:cstheme="majorBidi"/>
      <w:color w:val="17365D" w:themeColor="text2" w:themeShade="BF"/>
      <w:spacing w:val="5"/>
      <w:sz w:val="52"/>
    </w:rPr>
  </w:style>
  <w:style w:type="paragraph" w:customStyle="1" w:styleId="Testonotadichiusura1">
    <w:name w:val="Testo nota di chiusura1"/>
    <w:basedOn w:val="Normale"/>
    <w:link w:val="EndnoteTextChar"/>
    <w:uiPriority w:val="99"/>
    <w:semiHidden/>
    <w:rPr>
      <w:sz w:val="20"/>
    </w:rPr>
  </w:style>
  <w:style w:type="character" w:customStyle="1" w:styleId="Zwartgr">
    <w:name w:val="Zwartgr"/>
    <w:basedOn w:val="Carpredefinitoparagrafo"/>
    <w:uiPriority w:val="99"/>
    <w:rPr>
      <w:rFonts w:cs="Times New Roman"/>
    </w:rPr>
  </w:style>
  <w:style w:type="character" w:customStyle="1" w:styleId="Titolo7Carattere1">
    <w:name w:val="Titolo 7 Carattere1"/>
    <w:basedOn w:val="Carpredefinitoparagrafo"/>
    <w:link w:val="Titolo7"/>
    <w:uiPriority w:val="9"/>
    <w:rPr>
      <w:rFonts w:asciiTheme="majorHAnsi" w:eastAsiaTheme="majorEastAsia" w:hAnsiTheme="majorHAnsi" w:cstheme="majorBidi"/>
      <w:i/>
      <w:color w:val="404040" w:themeColor="text1" w:themeTint="BF"/>
    </w:rPr>
  </w:style>
  <w:style w:type="character" w:customStyle="1" w:styleId="Riferimentointenso1">
    <w:name w:val="Riferimento intenso1"/>
    <w:basedOn w:val="Carpredefinitoparagrafo"/>
    <w:uiPriority w:val="99"/>
    <w:rPr>
      <w:rFonts w:cs="Times New Roman"/>
      <w:b/>
      <w:smallCaps/>
      <w:color w:val="C0504D"/>
      <w:spacing w:val="5"/>
      <w:u w:val="single"/>
    </w:rPr>
  </w:style>
  <w:style w:type="character" w:customStyle="1" w:styleId="Titolo9Carattere1">
    <w:name w:val="Titolo 9 Carattere1"/>
    <w:basedOn w:val="Carpredefinitoparagrafo"/>
    <w:link w:val="Titolo9"/>
    <w:uiPriority w:val="9"/>
    <w:rPr>
      <w:rFonts w:asciiTheme="majorHAnsi" w:eastAsiaTheme="majorEastAsia" w:hAnsiTheme="majorHAnsi" w:cstheme="majorBidi"/>
      <w:i/>
      <w:color w:val="404040" w:themeColor="text1" w:themeTint="BF"/>
      <w:sz w:val="20"/>
    </w:rPr>
  </w:style>
  <w:style w:type="paragraph" w:customStyle="1" w:styleId="Corpotesto1">
    <w:name w:val="Corpo testo1"/>
    <w:uiPriority w:val="99"/>
    <w:pPr>
      <w:spacing w:after="120"/>
    </w:pPr>
    <w:rPr>
      <w:sz w:val="24"/>
    </w:rPr>
  </w:style>
  <w:style w:type="character" w:customStyle="1" w:styleId="TestonotaapidipaginaCarattere1">
    <w:name w:val="Testo nota a piè di pagina Carattere1"/>
    <w:basedOn w:val="Carpredefinitoparagrafo"/>
    <w:uiPriority w:val="99"/>
    <w:semiHidden/>
    <w:rPr>
      <w:sz w:val="20"/>
    </w:rPr>
  </w:style>
  <w:style w:type="character" w:customStyle="1" w:styleId="Titolo9Carattere">
    <w:name w:val="Titolo 9 Carattere"/>
    <w:basedOn w:val="Carpredefinitoparagrafo"/>
    <w:uiPriority w:val="99"/>
    <w:semiHidden/>
    <w:rPr>
      <w:rFonts w:cs="Times New Roman"/>
      <w:i/>
      <w:color w:val="404040"/>
    </w:rPr>
  </w:style>
  <w:style w:type="character" w:customStyle="1" w:styleId="Titolo7Carattere">
    <w:name w:val="Titolo 7 Carattere"/>
    <w:basedOn w:val="Carpredefinitoparagrafo"/>
    <w:uiPriority w:val="99"/>
    <w:semiHidden/>
    <w:rPr>
      <w:rFonts w:cs="Times New Roman"/>
      <w:i/>
      <w:color w:val="404040"/>
      <w:sz w:val="24"/>
    </w:rPr>
  </w:style>
  <w:style w:type="character" w:customStyle="1" w:styleId="Titolo8Carattere1">
    <w:name w:val="Titolo 8 Carattere1"/>
    <w:basedOn w:val="Carpredefinitoparagrafo"/>
    <w:link w:val="Titolo8"/>
    <w:uiPriority w:val="9"/>
    <w:rPr>
      <w:rFonts w:asciiTheme="majorHAnsi" w:eastAsiaTheme="majorEastAsia" w:hAnsiTheme="majorHAnsi" w:cstheme="majorBidi"/>
      <w:color w:val="404040" w:themeColor="text1" w:themeTint="BF"/>
      <w:sz w:val="20"/>
    </w:rPr>
  </w:style>
  <w:style w:type="character" w:customStyle="1" w:styleId="TestonotadichiusuraCarattere">
    <w:name w:val="Testo nota di chiusura Carattere"/>
    <w:basedOn w:val="Carpredefinitoparagrafo"/>
    <w:uiPriority w:val="99"/>
    <w:rPr>
      <w:rFonts w:cs="Times New Roman"/>
    </w:rPr>
  </w:style>
  <w:style w:type="paragraph" w:styleId="Titolo">
    <w:name w:val="Title"/>
    <w:basedOn w:val="Normale"/>
    <w:next w:val="Normale"/>
    <w:link w:val="TitoloCarattere1"/>
    <w:uiPriority w:val="10"/>
    <w:qFormat/>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rPr>
  </w:style>
  <w:style w:type="character" w:customStyle="1" w:styleId="QuoteChar">
    <w:name w:val="Quote Char"/>
    <w:basedOn w:val="Carpredefinitoparagrafo"/>
    <w:uiPriority w:val="29"/>
    <w:rPr>
      <w:i/>
      <w:color w:val="000000" w:themeColor="text1"/>
    </w:rPr>
  </w:style>
</w:styles>
</file>

<file path=word/stylesWithEffects0.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452919"/>
    <w:rPr>
      <w:sz w:val="24"/>
      <w:szCs w:val="20"/>
    </w:rPr>
  </w:style>
  <w:style w:type="paragraph" w:styleId="Titolo1">
    <w:name w:val="heading 1"/>
    <w:basedOn w:val="Normale"/>
    <w:next w:val="Corpotesto1"/>
    <w:link w:val="Titolo1Carattere"/>
    <w:uiPriority w:val="99"/>
    <w:qFormat/>
    <w:rsid w:val="00452919"/>
    <w:pPr>
      <w:numPr>
        <w:numId w:val="1"/>
      </w:numPr>
      <w:spacing w:before="280" w:after="280"/>
      <w:ind w:left="360"/>
      <w:outlineLvl w:val="0"/>
    </w:pPr>
    <w:rPr>
      <w:b/>
      <w:sz w:val="48"/>
    </w:rPr>
  </w:style>
  <w:style w:type="paragraph" w:styleId="Titolo2">
    <w:name w:val="heading 2"/>
    <w:basedOn w:val="Normale"/>
    <w:next w:val="Corpotesto1"/>
    <w:link w:val="Titolo2Carattere"/>
    <w:uiPriority w:val="99"/>
    <w:qFormat/>
    <w:rsid w:val="00452919"/>
    <w:pPr>
      <w:numPr>
        <w:ilvl w:val="1"/>
        <w:numId w:val="1"/>
      </w:numPr>
      <w:spacing w:before="280" w:after="280"/>
      <w:ind w:left="1080"/>
      <w:outlineLvl w:val="1"/>
    </w:pPr>
    <w:rPr>
      <w:b/>
      <w:sz w:val="36"/>
    </w:rPr>
  </w:style>
  <w:style w:type="paragraph" w:styleId="Titolo3">
    <w:name w:val="heading 3"/>
    <w:basedOn w:val="Normale"/>
    <w:next w:val="Corpotesto1"/>
    <w:link w:val="Titolo3Carattere"/>
    <w:uiPriority w:val="99"/>
    <w:qFormat/>
    <w:rsid w:val="00452919"/>
    <w:pPr>
      <w:numPr>
        <w:ilvl w:val="2"/>
        <w:numId w:val="1"/>
      </w:numPr>
      <w:spacing w:before="280" w:after="280"/>
      <w:ind w:left="1800"/>
      <w:outlineLvl w:val="2"/>
    </w:pPr>
    <w:rPr>
      <w:b/>
      <w:sz w:val="27"/>
    </w:rPr>
  </w:style>
  <w:style w:type="paragraph" w:styleId="Titolo4">
    <w:name w:val="heading 4"/>
    <w:basedOn w:val="Normale"/>
    <w:link w:val="Titolo4Carattere"/>
    <w:uiPriority w:val="99"/>
    <w:qFormat/>
    <w:rsid w:val="00452919"/>
    <w:pPr>
      <w:keepNext/>
      <w:keepLines/>
      <w:spacing w:before="200"/>
      <w:outlineLvl w:val="3"/>
    </w:pPr>
    <w:rPr>
      <w:b/>
      <w:i/>
      <w:color w:val="4F81BD"/>
    </w:rPr>
  </w:style>
  <w:style w:type="paragraph" w:styleId="Titolo5">
    <w:name w:val="heading 5"/>
    <w:basedOn w:val="Normale"/>
    <w:link w:val="Titolo5Carattere"/>
    <w:uiPriority w:val="99"/>
    <w:qFormat/>
    <w:rsid w:val="00452919"/>
    <w:pPr>
      <w:keepNext/>
      <w:keepLines/>
      <w:spacing w:before="200"/>
      <w:outlineLvl w:val="4"/>
    </w:pPr>
    <w:rPr>
      <w:color w:val="243F60"/>
    </w:rPr>
  </w:style>
  <w:style w:type="paragraph" w:styleId="Titolo6">
    <w:name w:val="heading 6"/>
    <w:basedOn w:val="Normale"/>
    <w:link w:val="Titolo6Carattere"/>
    <w:uiPriority w:val="99"/>
    <w:qFormat/>
    <w:rsid w:val="00452919"/>
    <w:pPr>
      <w:keepNext/>
      <w:keepLines/>
      <w:spacing w:before="200"/>
      <w:outlineLvl w:val="5"/>
    </w:pPr>
    <w:rPr>
      <w:i/>
      <w:color w:val="243F60"/>
    </w:rPr>
  </w:style>
  <w:style w:type="paragraph" w:styleId="Titolo7">
    <w:name w:val="heading 7"/>
    <w:basedOn w:val="Normale"/>
    <w:link w:val="Titolo7Carattere"/>
    <w:uiPriority w:val="99"/>
    <w:qFormat/>
    <w:rsid w:val="00452919"/>
    <w:pPr>
      <w:keepNext/>
      <w:keepLines/>
      <w:spacing w:before="200"/>
      <w:outlineLvl w:val="6"/>
    </w:pPr>
    <w:rPr>
      <w:i/>
      <w:color w:val="404040"/>
    </w:rPr>
  </w:style>
  <w:style w:type="paragraph" w:styleId="Titolo8">
    <w:name w:val="heading 8"/>
    <w:basedOn w:val="Normale"/>
    <w:link w:val="Titolo8Carattere"/>
    <w:uiPriority w:val="99"/>
    <w:qFormat/>
    <w:rsid w:val="00452919"/>
    <w:pPr>
      <w:keepNext/>
      <w:keepLines/>
      <w:spacing w:before="200"/>
      <w:outlineLvl w:val="7"/>
    </w:pPr>
    <w:rPr>
      <w:color w:val="404040"/>
      <w:sz w:val="20"/>
    </w:rPr>
  </w:style>
  <w:style w:type="paragraph" w:styleId="Titolo9">
    <w:name w:val="heading 9"/>
    <w:basedOn w:val="Normale"/>
    <w:link w:val="Titolo9Carattere"/>
    <w:uiPriority w:val="99"/>
    <w:qFormat/>
    <w:rsid w:val="00452919"/>
    <w:pPr>
      <w:keepNext/>
      <w:keepLines/>
      <w:spacing w:before="200"/>
      <w:outlineLvl w:val="8"/>
    </w:pPr>
    <w:rPr>
      <w:i/>
      <w:color w:val="40404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452919"/>
    <w:rPr>
      <w:rFonts w:cs="Times New Roman"/>
      <w:b/>
      <w:sz w:val="48"/>
      <w:lang w:val="it-IT" w:eastAsia="it-IT" w:bidi="ar-SA"/>
    </w:rPr>
  </w:style>
  <w:style w:type="character" w:customStyle="1" w:styleId="Titolo2Carattere">
    <w:name w:val="Titolo 2 Carattere"/>
    <w:basedOn w:val="Carpredefinitoparagrafo"/>
    <w:link w:val="Titolo2"/>
    <w:uiPriority w:val="99"/>
    <w:locked/>
    <w:rsid w:val="00452919"/>
    <w:rPr>
      <w:rFonts w:cs="Times New Roman"/>
      <w:b/>
      <w:sz w:val="36"/>
      <w:lang w:val="it-IT" w:eastAsia="it-IT" w:bidi="ar-SA"/>
    </w:rPr>
  </w:style>
  <w:style w:type="character" w:customStyle="1" w:styleId="Titolo3Carattere">
    <w:name w:val="Titolo 3 Carattere"/>
    <w:basedOn w:val="Carpredefinitoparagrafo"/>
    <w:link w:val="Titolo3"/>
    <w:uiPriority w:val="99"/>
    <w:locked/>
    <w:rsid w:val="00452919"/>
    <w:rPr>
      <w:rFonts w:cs="Times New Roman"/>
      <w:b/>
      <w:sz w:val="27"/>
      <w:lang w:val="it-IT" w:eastAsia="it-IT" w:bidi="ar-SA"/>
    </w:rPr>
  </w:style>
  <w:style w:type="character" w:customStyle="1" w:styleId="Titolo4Carattere">
    <w:name w:val="Titolo 4 Carattere"/>
    <w:basedOn w:val="Carpredefinitoparagrafo"/>
    <w:link w:val="Titolo4"/>
    <w:uiPriority w:val="99"/>
    <w:semiHidden/>
    <w:locked/>
    <w:rsid w:val="00452919"/>
    <w:rPr>
      <w:rFonts w:cs="Times New Roman"/>
      <w:b/>
      <w:i/>
      <w:color w:val="4F81BD"/>
      <w:sz w:val="24"/>
      <w:lang w:val="it-IT" w:eastAsia="it-IT" w:bidi="ar-SA"/>
    </w:rPr>
  </w:style>
  <w:style w:type="character" w:customStyle="1" w:styleId="Titolo5Carattere">
    <w:name w:val="Titolo 5 Carattere"/>
    <w:basedOn w:val="Carpredefinitoparagrafo"/>
    <w:link w:val="Titolo5"/>
    <w:uiPriority w:val="99"/>
    <w:semiHidden/>
    <w:locked/>
    <w:rsid w:val="00452919"/>
    <w:rPr>
      <w:rFonts w:cs="Times New Roman"/>
      <w:color w:val="243F60"/>
      <w:sz w:val="24"/>
      <w:lang w:val="it-IT" w:eastAsia="it-IT" w:bidi="ar-SA"/>
    </w:rPr>
  </w:style>
  <w:style w:type="character" w:customStyle="1" w:styleId="Titolo6Carattere">
    <w:name w:val="Titolo 6 Carattere"/>
    <w:basedOn w:val="Carpredefinitoparagrafo"/>
    <w:link w:val="Titolo6"/>
    <w:uiPriority w:val="99"/>
    <w:semiHidden/>
    <w:locked/>
    <w:rsid w:val="00452919"/>
    <w:rPr>
      <w:rFonts w:cs="Times New Roman"/>
      <w:i/>
      <w:color w:val="243F60"/>
      <w:sz w:val="24"/>
      <w:lang w:val="it-IT" w:eastAsia="it-IT" w:bidi="ar-SA"/>
    </w:rPr>
  </w:style>
  <w:style w:type="character" w:customStyle="1" w:styleId="Titolo7Carattere">
    <w:name w:val="Titolo 7 Carattere"/>
    <w:basedOn w:val="Carpredefinitoparagrafo"/>
    <w:link w:val="Titolo7"/>
    <w:uiPriority w:val="99"/>
    <w:semiHidden/>
    <w:locked/>
    <w:rsid w:val="00452919"/>
    <w:rPr>
      <w:rFonts w:cs="Times New Roman"/>
      <w:i/>
      <w:color w:val="404040"/>
      <w:sz w:val="24"/>
      <w:lang w:val="it-IT" w:eastAsia="it-IT" w:bidi="ar-SA"/>
    </w:rPr>
  </w:style>
  <w:style w:type="character" w:customStyle="1" w:styleId="Titolo8Carattere">
    <w:name w:val="Titolo 8 Carattere"/>
    <w:basedOn w:val="Carpredefinitoparagrafo"/>
    <w:link w:val="Titolo8"/>
    <w:uiPriority w:val="99"/>
    <w:semiHidden/>
    <w:locked/>
    <w:rsid w:val="00452919"/>
    <w:rPr>
      <w:rFonts w:cs="Times New Roman"/>
      <w:color w:val="404040"/>
      <w:lang w:val="it-IT" w:eastAsia="it-IT" w:bidi="ar-SA"/>
    </w:rPr>
  </w:style>
  <w:style w:type="character" w:customStyle="1" w:styleId="Titolo9Carattere">
    <w:name w:val="Titolo 9 Carattere"/>
    <w:basedOn w:val="Carpredefinitoparagrafo"/>
    <w:link w:val="Titolo9"/>
    <w:uiPriority w:val="99"/>
    <w:semiHidden/>
    <w:locked/>
    <w:rsid w:val="00452919"/>
    <w:rPr>
      <w:rFonts w:cs="Times New Roman"/>
      <w:i/>
      <w:color w:val="404040"/>
      <w:lang w:val="it-IT" w:eastAsia="it-IT" w:bidi="ar-SA"/>
    </w:rPr>
  </w:style>
  <w:style w:type="character" w:customStyle="1" w:styleId="Rimandonotaapidipagina1">
    <w:name w:val="Rimando nota a piè di pagina1"/>
    <w:basedOn w:val="Carpredefinitoparagrafo"/>
    <w:uiPriority w:val="99"/>
    <w:semiHidden/>
    <w:rsid w:val="00452919"/>
    <w:rPr>
      <w:rFonts w:cs="Times New Roman"/>
      <w:vertAlign w:val="superscript"/>
    </w:rPr>
  </w:style>
  <w:style w:type="character" w:styleId="Enfasigrassetto">
    <w:name w:val="Strong"/>
    <w:basedOn w:val="Carpredefinitoparagrafo"/>
    <w:uiPriority w:val="99"/>
    <w:qFormat/>
    <w:rsid w:val="00452919"/>
    <w:rPr>
      <w:rFonts w:cs="Times New Roman"/>
      <w:b/>
    </w:rPr>
  </w:style>
  <w:style w:type="paragraph" w:styleId="Pidipagina">
    <w:name w:val="footer"/>
    <w:basedOn w:val="Normale"/>
    <w:link w:val="PidipaginaCarattere"/>
    <w:uiPriority w:val="99"/>
    <w:rsid w:val="00452919"/>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555F2"/>
    <w:rPr>
      <w:sz w:val="24"/>
      <w:szCs w:val="20"/>
    </w:rPr>
  </w:style>
  <w:style w:type="paragraph" w:styleId="Citazioneintensa">
    <w:name w:val="Intense Quote"/>
    <w:basedOn w:val="Normale"/>
    <w:next w:val="Normale"/>
    <w:link w:val="CitazioneintensaCarattere"/>
    <w:uiPriority w:val="99"/>
    <w:qFormat/>
    <w:rsid w:val="00452919"/>
    <w:pPr>
      <w:pBdr>
        <w:bottom w:val="single" w:sz="4" w:space="0" w:color="4F81BD"/>
      </w:pBdr>
      <w:spacing w:before="200" w:after="280"/>
      <w:ind w:left="936" w:right="936"/>
    </w:pPr>
    <w:rPr>
      <w:b/>
      <w:i/>
      <w:color w:val="4F81BD"/>
    </w:rPr>
  </w:style>
  <w:style w:type="character" w:customStyle="1" w:styleId="CitazioneintensaCarattere">
    <w:name w:val="Citazione intensa Carattere"/>
    <w:basedOn w:val="Carpredefinitoparagrafo"/>
    <w:link w:val="Citazioneintensa"/>
    <w:uiPriority w:val="99"/>
    <w:locked/>
    <w:rsid w:val="00452919"/>
    <w:rPr>
      <w:rFonts w:cs="Times New Roman"/>
      <w:b/>
      <w:i/>
      <w:color w:val="4F81BD"/>
    </w:rPr>
  </w:style>
  <w:style w:type="character" w:customStyle="1" w:styleId="Riferimentodelicato1">
    <w:name w:val="Riferimento delicato1"/>
    <w:basedOn w:val="Carpredefinitoparagrafo"/>
    <w:uiPriority w:val="99"/>
    <w:rsid w:val="00452919"/>
    <w:rPr>
      <w:rFonts w:cs="Times New Roman"/>
      <w:smallCaps/>
      <w:color w:val="C0504D"/>
      <w:u w:val="single"/>
    </w:rPr>
  </w:style>
  <w:style w:type="character" w:customStyle="1" w:styleId="Longtext">
    <w:name w:val="Long_text"/>
    <w:basedOn w:val="Carpredefinitoparagrafo"/>
    <w:uiPriority w:val="99"/>
    <w:rsid w:val="00452919"/>
    <w:rPr>
      <w:rFonts w:cs="Times New Roman"/>
    </w:rPr>
  </w:style>
  <w:style w:type="character" w:styleId="Enfasicorsivo">
    <w:name w:val="Emphasis"/>
    <w:basedOn w:val="Carpredefinitoparagrafo"/>
    <w:uiPriority w:val="99"/>
    <w:qFormat/>
    <w:rsid w:val="00452919"/>
    <w:rPr>
      <w:rFonts w:cs="Times New Roman"/>
      <w:i/>
    </w:rPr>
  </w:style>
  <w:style w:type="character" w:styleId="Titolodellibro">
    <w:name w:val="Book Title"/>
    <w:basedOn w:val="Carpredefinitoparagrafo"/>
    <w:uiPriority w:val="99"/>
    <w:qFormat/>
    <w:rsid w:val="00452919"/>
    <w:rPr>
      <w:rFonts w:cs="Times New Roman"/>
      <w:b/>
      <w:smallCaps/>
      <w:spacing w:val="5"/>
    </w:rPr>
  </w:style>
  <w:style w:type="character" w:customStyle="1" w:styleId="Numeropagina1">
    <w:name w:val="Numero pagina1"/>
    <w:basedOn w:val="Carpredefinitoparagrafo"/>
    <w:uiPriority w:val="99"/>
    <w:rsid w:val="00452919"/>
    <w:rPr>
      <w:rFonts w:cs="Times New Roman"/>
    </w:rPr>
  </w:style>
  <w:style w:type="paragraph" w:styleId="Citazione">
    <w:name w:val="Quote"/>
    <w:basedOn w:val="Normale"/>
    <w:link w:val="CitazioneCarattere"/>
    <w:uiPriority w:val="99"/>
    <w:qFormat/>
    <w:rsid w:val="00452919"/>
    <w:rPr>
      <w:i/>
      <w:color w:val="000000"/>
    </w:rPr>
  </w:style>
  <w:style w:type="character" w:customStyle="1" w:styleId="CitazioneCarattere">
    <w:name w:val="Citazione Carattere"/>
    <w:basedOn w:val="Carpredefinitoparagrafo"/>
    <w:link w:val="Citazione"/>
    <w:uiPriority w:val="99"/>
    <w:locked/>
    <w:rsid w:val="00452919"/>
    <w:rPr>
      <w:rFonts w:cs="Times New Roman"/>
      <w:i/>
      <w:color w:val="000000"/>
      <w:sz w:val="24"/>
      <w:lang w:val="it-IT" w:eastAsia="it-IT" w:bidi="ar-SA"/>
    </w:rPr>
  </w:style>
  <w:style w:type="character" w:customStyle="1" w:styleId="Donkergrijsgrb">
    <w:name w:val="Donkergrijsgrb"/>
    <w:basedOn w:val="Carpredefinitoparagrafo"/>
    <w:uiPriority w:val="99"/>
    <w:rsid w:val="00452919"/>
    <w:rPr>
      <w:rFonts w:cs="Times New Roman"/>
    </w:rPr>
  </w:style>
  <w:style w:type="character" w:customStyle="1" w:styleId="Riferimentointenso1">
    <w:name w:val="Riferimento intenso1"/>
    <w:basedOn w:val="Carpredefinitoparagrafo"/>
    <w:uiPriority w:val="99"/>
    <w:rsid w:val="00452919"/>
    <w:rPr>
      <w:rFonts w:cs="Times New Roman"/>
      <w:b/>
      <w:smallCaps/>
      <w:color w:val="C0504D"/>
      <w:spacing w:val="5"/>
      <w:u w:val="single"/>
    </w:rPr>
  </w:style>
  <w:style w:type="table" w:customStyle="1" w:styleId="Tabellanormale1">
    <w:name w:val="Tabella normale1"/>
    <w:uiPriority w:val="99"/>
    <w:semiHidden/>
    <w:rsid w:val="00452919"/>
    <w:rPr>
      <w:sz w:val="24"/>
      <w:szCs w:val="20"/>
    </w:rPr>
    <w:tblPr>
      <w:tblCellMar>
        <w:top w:w="0" w:type="dxa"/>
        <w:left w:w="108" w:type="dxa"/>
        <w:bottom w:w="0" w:type="dxa"/>
        <w:right w:w="108" w:type="dxa"/>
      </w:tblCellMar>
    </w:tblPr>
  </w:style>
  <w:style w:type="paragraph" w:customStyle="1" w:styleId="Corpotesto1">
    <w:name w:val="Corpo testo1"/>
    <w:uiPriority w:val="99"/>
    <w:rsid w:val="00452919"/>
    <w:pPr>
      <w:spacing w:after="120"/>
    </w:pPr>
    <w:rPr>
      <w:sz w:val="24"/>
      <w:szCs w:val="20"/>
    </w:rPr>
  </w:style>
  <w:style w:type="paragraph" w:customStyle="1" w:styleId="Testonormale1">
    <w:name w:val="Testo normale1"/>
    <w:link w:val="PlainTextChar"/>
    <w:uiPriority w:val="99"/>
    <w:semiHidden/>
    <w:rsid w:val="00452919"/>
    <w:rPr>
      <w:rFonts w:ascii="Courier New" w:hAnsi="Courier New" w:cs="Courier New"/>
      <w:sz w:val="21"/>
      <w:szCs w:val="20"/>
    </w:rPr>
  </w:style>
  <w:style w:type="paragraph" w:customStyle="1" w:styleId="Paragrafoelenco1">
    <w:name w:val="Paragrafo elenco1"/>
    <w:uiPriority w:val="99"/>
    <w:rsid w:val="00452919"/>
    <w:pPr>
      <w:ind w:left="720"/>
    </w:pPr>
    <w:rPr>
      <w:sz w:val="24"/>
      <w:szCs w:val="20"/>
    </w:rPr>
  </w:style>
  <w:style w:type="character" w:customStyle="1" w:styleId="Hps">
    <w:name w:val="Hps"/>
    <w:basedOn w:val="Carpredefinitoparagrafo"/>
    <w:uiPriority w:val="99"/>
    <w:rsid w:val="00452919"/>
    <w:rPr>
      <w:rFonts w:cs="Times New Roman"/>
    </w:rPr>
  </w:style>
  <w:style w:type="character" w:customStyle="1" w:styleId="Shorttext">
    <w:name w:val="Short_text"/>
    <w:uiPriority w:val="99"/>
    <w:rsid w:val="00452919"/>
  </w:style>
  <w:style w:type="paragraph" w:customStyle="1" w:styleId="Puntoelenco1">
    <w:name w:val="Punto elenco1"/>
    <w:uiPriority w:val="99"/>
    <w:rsid w:val="00452919"/>
    <w:pPr>
      <w:numPr>
        <w:numId w:val="2"/>
      </w:numPr>
    </w:pPr>
    <w:rPr>
      <w:rFonts w:cs="Calibri"/>
      <w:sz w:val="20"/>
      <w:szCs w:val="20"/>
    </w:rPr>
  </w:style>
  <w:style w:type="character" w:customStyle="1" w:styleId="PlainTextChar">
    <w:name w:val="Plain Text Char"/>
    <w:basedOn w:val="Carpredefinitoparagrafo"/>
    <w:link w:val="Testonormale1"/>
    <w:uiPriority w:val="99"/>
    <w:semiHidden/>
    <w:locked/>
    <w:rsid w:val="00452919"/>
    <w:rPr>
      <w:rFonts w:ascii="Courier New" w:hAnsi="Courier New" w:cs="Courier New"/>
      <w:sz w:val="21"/>
      <w:lang w:val="it-IT" w:eastAsia="it-IT" w:bidi="ar-SA"/>
    </w:rPr>
  </w:style>
  <w:style w:type="character" w:customStyle="1" w:styleId="Rimandonotadichiusura1">
    <w:name w:val="Rimando nota di chiusura1"/>
    <w:uiPriority w:val="99"/>
    <w:rsid w:val="00452919"/>
    <w:rPr>
      <w:vertAlign w:val="superscript"/>
    </w:rPr>
  </w:style>
  <w:style w:type="character" w:styleId="Enfasidelicata">
    <w:name w:val="Subtle Emphasis"/>
    <w:basedOn w:val="Carpredefinitoparagrafo"/>
    <w:uiPriority w:val="99"/>
    <w:qFormat/>
    <w:rsid w:val="00452919"/>
    <w:rPr>
      <w:rFonts w:cs="Times New Roman"/>
      <w:i/>
      <w:color w:val="808080"/>
    </w:rPr>
  </w:style>
  <w:style w:type="character" w:customStyle="1" w:styleId="SubtitleChar">
    <w:name w:val="Subtitle Char"/>
    <w:basedOn w:val="Carpredefinitoparagrafo"/>
    <w:uiPriority w:val="99"/>
    <w:locked/>
    <w:rsid w:val="00452919"/>
    <w:rPr>
      <w:rFonts w:ascii="Times New Roman" w:hAnsi="Times New Roman" w:cs="Times New Roman"/>
      <w:i/>
      <w:color w:val="4F81BD"/>
      <w:spacing w:val="15"/>
      <w:sz w:val="24"/>
    </w:rPr>
  </w:style>
  <w:style w:type="paragraph" w:customStyle="1" w:styleId="Testonotaapidipagina1">
    <w:name w:val="Testo nota a piè di pagina1"/>
    <w:link w:val="TestonotaapidipaginaCarattere"/>
    <w:uiPriority w:val="99"/>
    <w:rsid w:val="00452919"/>
    <w:rPr>
      <w:rFonts w:cs="Calibri"/>
      <w:sz w:val="24"/>
      <w:szCs w:val="20"/>
    </w:rPr>
  </w:style>
  <w:style w:type="character" w:customStyle="1" w:styleId="EndnoteTextChar">
    <w:name w:val="Endnote Text Char"/>
    <w:basedOn w:val="Carpredefinitoparagrafo"/>
    <w:link w:val="Testonotadichiusura1"/>
    <w:uiPriority w:val="99"/>
    <w:semiHidden/>
    <w:locked/>
    <w:rsid w:val="00452919"/>
    <w:rPr>
      <w:rFonts w:cs="Times New Roman"/>
      <w:sz w:val="20"/>
    </w:rPr>
  </w:style>
  <w:style w:type="character" w:customStyle="1" w:styleId="St">
    <w:name w:val="St"/>
    <w:basedOn w:val="Carpredefinitoparagrafo"/>
    <w:uiPriority w:val="99"/>
    <w:rsid w:val="00452919"/>
    <w:rPr>
      <w:rFonts w:cs="Times New Roman"/>
    </w:rPr>
  </w:style>
  <w:style w:type="character" w:customStyle="1" w:styleId="Caratteredellanota">
    <w:name w:val="Carattere della nota"/>
    <w:uiPriority w:val="99"/>
    <w:rsid w:val="00452919"/>
    <w:rPr>
      <w:vertAlign w:val="superscript"/>
    </w:rPr>
  </w:style>
  <w:style w:type="character" w:customStyle="1" w:styleId="Atn">
    <w:name w:val="Atn"/>
    <w:uiPriority w:val="99"/>
    <w:rsid w:val="00452919"/>
  </w:style>
  <w:style w:type="character" w:customStyle="1" w:styleId="Enfasiintensa1">
    <w:name w:val="Enfasi intensa1"/>
    <w:basedOn w:val="Carpredefinitoparagrafo"/>
    <w:uiPriority w:val="99"/>
    <w:rsid w:val="00452919"/>
    <w:rPr>
      <w:rFonts w:cs="Times New Roman"/>
      <w:b/>
      <w:i/>
      <w:color w:val="4F81BD"/>
    </w:rPr>
  </w:style>
  <w:style w:type="paragraph" w:customStyle="1" w:styleId="Testonotadichiusura1">
    <w:name w:val="Testo nota di chiusura1"/>
    <w:basedOn w:val="Normale"/>
    <w:link w:val="EndnoteTextChar"/>
    <w:uiPriority w:val="99"/>
    <w:semiHidden/>
    <w:rsid w:val="00452919"/>
    <w:rPr>
      <w:sz w:val="20"/>
    </w:rPr>
  </w:style>
  <w:style w:type="character" w:customStyle="1" w:styleId="Rimandonotaapidipagina2">
    <w:name w:val="Rimando nota a piè di pagina2"/>
    <w:uiPriority w:val="99"/>
    <w:rsid w:val="00452919"/>
    <w:rPr>
      <w:vertAlign w:val="superscript"/>
    </w:rPr>
  </w:style>
  <w:style w:type="character" w:customStyle="1" w:styleId="FootnoteTextChar">
    <w:name w:val="Footnote Text Char"/>
    <w:basedOn w:val="Carpredefinitoparagrafo"/>
    <w:uiPriority w:val="99"/>
    <w:semiHidden/>
    <w:locked/>
    <w:rsid w:val="00452919"/>
    <w:rPr>
      <w:rFonts w:cs="Times New Roman"/>
      <w:sz w:val="20"/>
    </w:rPr>
  </w:style>
  <w:style w:type="character" w:customStyle="1" w:styleId="Rimandonotaapidipagina10">
    <w:name w:val="Rimando nota a piè di pagina1"/>
    <w:uiPriority w:val="99"/>
    <w:rsid w:val="00452919"/>
    <w:rPr>
      <w:vertAlign w:val="superscript"/>
    </w:rPr>
  </w:style>
  <w:style w:type="character" w:customStyle="1" w:styleId="Rimandonotaapidipagina3">
    <w:name w:val="Rimando nota a piè di pagina3"/>
    <w:uiPriority w:val="99"/>
    <w:rsid w:val="00452919"/>
    <w:rPr>
      <w:vertAlign w:val="superscript"/>
    </w:rPr>
  </w:style>
  <w:style w:type="character" w:customStyle="1" w:styleId="TestonotaapidipaginaCarattere">
    <w:name w:val="Testo nota a piè di pagina Carattere"/>
    <w:link w:val="Testonotaapidipagina1"/>
    <w:uiPriority w:val="99"/>
    <w:locked/>
    <w:rsid w:val="00452919"/>
    <w:rPr>
      <w:sz w:val="24"/>
      <w:lang w:val="it-IT" w:eastAsia="it-IT"/>
    </w:rPr>
  </w:style>
  <w:style w:type="paragraph" w:styleId="Nessunaspaziatura">
    <w:name w:val="No Spacing"/>
    <w:uiPriority w:val="99"/>
    <w:qFormat/>
    <w:rsid w:val="00452919"/>
    <w:rPr>
      <w:sz w:val="24"/>
      <w:szCs w:val="20"/>
    </w:rPr>
  </w:style>
  <w:style w:type="character" w:customStyle="1" w:styleId="Apple-converted-space">
    <w:name w:val="Apple-converted-space"/>
    <w:basedOn w:val="Carpredefinitoparagrafo"/>
    <w:uiPriority w:val="99"/>
    <w:rsid w:val="00452919"/>
    <w:rPr>
      <w:rFonts w:cs="Times New Roman"/>
    </w:rPr>
  </w:style>
  <w:style w:type="character" w:customStyle="1" w:styleId="Subtitle1">
    <w:name w:val="Subtitle1"/>
    <w:basedOn w:val="Carpredefinitoparagrafo"/>
    <w:uiPriority w:val="99"/>
    <w:locked/>
    <w:rsid w:val="00452919"/>
    <w:rPr>
      <w:rFonts w:cs="Times New Roman"/>
    </w:rPr>
  </w:style>
  <w:style w:type="character" w:styleId="Collegamentoipertestuale">
    <w:name w:val="Hyperlink"/>
    <w:basedOn w:val="Carpredefinitoparagrafo"/>
    <w:uiPriority w:val="99"/>
    <w:rsid w:val="00452919"/>
    <w:rPr>
      <w:rFonts w:cs="Times New Roman"/>
      <w:color w:val="0000FF"/>
      <w:u w:val="single"/>
    </w:rPr>
  </w:style>
  <w:style w:type="character" w:customStyle="1" w:styleId="TitoloCarattere">
    <w:name w:val="Titolo Carattere"/>
    <w:basedOn w:val="Carpredefinitoparagrafo"/>
    <w:link w:val="Titolo"/>
    <w:uiPriority w:val="99"/>
    <w:locked/>
    <w:rsid w:val="00452919"/>
    <w:rPr>
      <w:rFonts w:cs="Times New Roman"/>
      <w:color w:val="17365D"/>
      <w:spacing w:val="5"/>
      <w:sz w:val="52"/>
      <w:lang w:val="it-IT" w:eastAsia="it-IT" w:bidi="ar-SA"/>
    </w:rPr>
  </w:style>
  <w:style w:type="character" w:customStyle="1" w:styleId="Zwartgr">
    <w:name w:val="Zwartgr"/>
    <w:basedOn w:val="Carpredefinitoparagrafo"/>
    <w:uiPriority w:val="99"/>
    <w:rsid w:val="00452919"/>
    <w:rPr>
      <w:rFonts w:cs="Times New Roman"/>
    </w:rPr>
  </w:style>
  <w:style w:type="paragraph" w:styleId="Titolo">
    <w:name w:val="Title"/>
    <w:basedOn w:val="Normale"/>
    <w:link w:val="TitoloCarattere"/>
    <w:uiPriority w:val="99"/>
    <w:qFormat/>
    <w:rsid w:val="00452919"/>
    <w:pPr>
      <w:pBdr>
        <w:bottom w:val="single" w:sz="8" w:space="0" w:color="4F81BD"/>
      </w:pBdr>
      <w:spacing w:after="300"/>
    </w:pPr>
    <w:rPr>
      <w:color w:val="17365D"/>
      <w:spacing w:val="5"/>
      <w:sz w:val="52"/>
    </w:rPr>
  </w:style>
  <w:style w:type="character" w:customStyle="1" w:styleId="TitleChar1">
    <w:name w:val="Title Char1"/>
    <w:basedOn w:val="Carpredefinitoparagrafo"/>
    <w:uiPriority w:val="10"/>
    <w:rsid w:val="003555F2"/>
    <w:rPr>
      <w:rFonts w:asciiTheme="majorHAnsi" w:eastAsiaTheme="majorEastAsia" w:hAnsiTheme="majorHAnsi" w:cstheme="majorBidi"/>
      <w:b/>
      <w:bCs/>
      <w:kern w:val="28"/>
      <w:sz w:val="32"/>
      <w:szCs w:val="32"/>
    </w:rPr>
  </w:style>
  <w:style w:type="character" w:customStyle="1" w:styleId="TestonotadichiusuraCarattere">
    <w:name w:val="Testo nota di chiusura Carattere"/>
    <w:basedOn w:val="Carpredefinitoparagrafo"/>
    <w:uiPriority w:val="99"/>
    <w:locked/>
    <w:rsid w:val="00452919"/>
    <w:rPr>
      <w:rFonts w:cs="Times New Roman"/>
    </w:rPr>
  </w:style>
  <w:style w:type="paragraph" w:styleId="Testonotaapidipagina">
    <w:name w:val="footnote text"/>
    <w:basedOn w:val="Normale"/>
    <w:link w:val="TestonotaapidipaginaCarattere1"/>
    <w:uiPriority w:val="99"/>
    <w:semiHidden/>
    <w:rsid w:val="00E97E4E"/>
    <w:rPr>
      <w:sz w:val="20"/>
    </w:rPr>
  </w:style>
  <w:style w:type="character" w:customStyle="1" w:styleId="TestonotaapidipaginaCarattere1">
    <w:name w:val="Testo nota a piè di pagina Carattere1"/>
    <w:basedOn w:val="Carpredefinitoparagrafo"/>
    <w:link w:val="Testonotaapidipagina"/>
    <w:uiPriority w:val="99"/>
    <w:semiHidden/>
    <w:rsid w:val="003555F2"/>
    <w:rPr>
      <w:sz w:val="20"/>
      <w:szCs w:val="20"/>
    </w:rPr>
  </w:style>
  <w:style w:type="character" w:styleId="Rimandonotaapidipagina">
    <w:name w:val="footnote reference"/>
    <w:basedOn w:val="Carpredefinitoparagrafo"/>
    <w:uiPriority w:val="99"/>
    <w:semiHidden/>
    <w:rsid w:val="00E97E4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nullnullhttp://schemas.microsoft.com/office/2007/relationships/stylesWithEffects" Target="stylesWithEffect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4878</Words>
  <Characters>27805</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Leonida Tedoldi (Université de Vérone)</vt:lpstr>
    </vt:vector>
  </TitlesOfParts>
  <Company/>
  <LinksUpToDate>false</LinksUpToDate>
  <CharactersWithSpaces>32618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Leonida Tedoldi (Université de Vérone)</dc:title>
  <dc:creator>amministratore</dc:creator>
  <cp:lastModifiedBy>leonida</cp:lastModifiedBy>
  <cp:revision>2</cp:revision>
  <dcterms:created xsi:type="dcterms:W3CDTF">2014-04-23T10:04:00Z</dcterms:created>
  <dcterms:modified xsi:type="dcterms:W3CDTF">2014-04-23T10:04:00Z</dcterms:modified>
</cp:coreProperties>
</file>